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36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Анализ  правоприменительной практики </w:t>
      </w:r>
    </w:p>
    <w:p>
      <w:pPr>
        <w:spacing w:after="0" w:line="36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осуществления федерального государственного лесного контроля (надзора), </w:t>
      </w:r>
    </w:p>
    <w:p>
      <w:pPr>
        <w:spacing w:after="0" w:line="36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лесной охраны </w:t>
      </w:r>
      <w:r>
        <w:rPr>
          <w:rFonts w:ascii="PT Astra Serif" w:hAnsi="PT Astra Serif"/>
          <w:b/>
          <w:sz w:val="28"/>
          <w:szCs w:val="28"/>
        </w:rPr>
        <w:t xml:space="preserve">в </w:t>
      </w:r>
      <w:r>
        <w:rPr>
          <w:rFonts w:ascii="PT Astra Serif" w:hAnsi="PT Astra Serif"/>
          <w:b/>
          <w:sz w:val="28"/>
          <w:szCs w:val="28"/>
        </w:rPr>
        <w:t xml:space="preserve">первом квартале </w:t>
      </w:r>
      <w:r>
        <w:rPr>
          <w:rFonts w:ascii="PT Astra Serif" w:hAnsi="PT Astra Serif"/>
          <w:b/>
          <w:sz w:val="28"/>
          <w:szCs w:val="28"/>
        </w:rPr>
        <w:t xml:space="preserve">202</w:t>
      </w:r>
      <w:r>
        <w:rPr>
          <w:rFonts w:ascii="PT Astra Serif" w:hAnsi="PT Astra Serif"/>
          <w:b/>
          <w:sz w:val="28"/>
          <w:szCs w:val="28"/>
        </w:rPr>
        <w:t xml:space="preserve">3</w:t>
      </w:r>
      <w:r>
        <w:rPr>
          <w:rFonts w:ascii="PT Astra Serif" w:hAnsi="PT Astra Serif"/>
          <w:b/>
          <w:sz w:val="28"/>
          <w:szCs w:val="28"/>
        </w:rPr>
        <w:t xml:space="preserve"> год</w:t>
      </w:r>
      <w:r>
        <w:rPr>
          <w:rFonts w:ascii="PT Astra Serif" w:hAnsi="PT Astra Serif"/>
          <w:b/>
          <w:sz w:val="28"/>
          <w:szCs w:val="28"/>
        </w:rPr>
        <w:t xml:space="preserve">а</w:t>
      </w:r>
      <w:r>
        <w:rPr>
          <w:rFonts w:ascii="PT Astra Serif" w:hAnsi="PT Astra Serif"/>
          <w:b/>
          <w:sz w:val="28"/>
          <w:szCs w:val="28"/>
        </w:rPr>
        <w:t xml:space="preserve"> </w:t>
      </w:r>
    </w:p>
    <w:p>
      <w:pPr>
        <w:spacing w:after="0" w:line="36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Департаментом лесного хозяйства Томской области,</w:t>
      </w:r>
    </w:p>
    <w:p>
      <w:pPr>
        <w:spacing w:after="0" w:line="360" w:lineRule="auto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ОГКУ «Томсклес» и его филиалами </w:t>
      </w:r>
      <w:r>
        <w:rPr>
          <w:rFonts w:ascii="PT Astra Serif" w:hAnsi="PT Astra Serif"/>
          <w:b/>
          <w:sz w:val="28"/>
          <w:szCs w:val="28"/>
        </w:rPr>
        <w:br/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На территории Томской области осуществление функции по федеральному государственному лесному контролю (надзору) возложено на Департамент лесного хозяйства Томской области, а также подведомственное ему учреждение –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ОГКУ 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Томсклес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». 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Количество лиц, деятельность которых является объектом федерального государственного лесного контроля (надзора), составляет более 18 000, из них с категорией умеренного риска порядка 60, оставшаяся часть относятся к низкой категории риска, объекты со значительной категорией риска отсутствуют.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 учетом введенных на основании постановления Правительства Российской Федерации от 10.03.2022 № 336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2022 году особенностей по проведению контрольных (надзорных) мероприятий, а также с учетом заданного Минэкономразвития России направления по снижению административной нагрузки на хозяйствующие субъекты, Департаментом лесного хозяйства Томской области, ОГКУ 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Томсклес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 сделан акцент на проведение профилактических мероприятий по соблюдению обязательных требований лесного законодательства со стороны лиц, использующих леса.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 2022 году проведено более 700 профилактических мероприятий (информирование, консультирование, обобщение правоохранительной практики, выдача предостережений), в том числе выдано 50 предостережений. В 1 квартале 2023 года проведено порядка 180 профилактических мероприятий, в том числе выдано 9 предостережений.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 целью оперативного реагирования лесной охраны, организована круглосуточная работа по приему сообщений о совершаемых в лесу нарушениях через региональную диспетчерскую службу лесного хозяйства Томской области (РДС), позволяющую производить моментальный обмен информацией между всеми участниками межведомственного взаимодействия.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Обмен информацией в режиме реального времени организован путем подключения к серверу РДС мобильного приложения (мессенджера). Помимо диспетчеров РДС осуществляется круглосуточное дежурство ответственных лиц Департамента. 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На официальном сайте Департамента работает сервис прямого обращения граждан, позволяющий отправить текстовое сообщение о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лесонарушении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прикрепив к нему фотографии, в том числе с привязкой к географическим координатам.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Такие сообщения автоматически отображаются в вышеуказанном мобильном приложении.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Проверка сообщений, поступивших в РДС либо на сервис прямого обращения граждан, проводится как сотрудниками Департамента, так и специалистами лесничеств в зависимости от отдалённости места возможного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лесонарушения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 содержания поступившей информации.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Предпринятые на территории Томской области меры позволили повысить эффективность борьбы с незаконными рубками и оборотом древесины,  что в свою очередь позволило инспекторам лесной охраны региона из года в год добиваться положительных результатов на данном направлении деятельности.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На постоянной основе осуществляется регулярное межведомственное взаимодействие с органами МВД, ФСБ, прокуратурой, таможней и другими контролирующими органами.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По итогам 2022 года Департаментом совместно с ОГКУ 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Томсклес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 проведено 4918 проверочных мероприятий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(из них 362 совместно с правоохранительными органами), выявлено 661 нарушение требований лесного законодательства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(из них 410 административных правонарушений).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По результатам проверочных мероприятий в 2022 году выявлен 251 случай незаконной рубки лесных насаждений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(из них 109 случаев с установленными нарушителями), объем незаконных рубок составил 13,3 тыс. м</w:t>
      </w:r>
      <w:r>
        <w:rPr>
          <w:rFonts w:ascii="PT Astra Serif" w:hAnsi="PT Astra Serif" w:eastAsia="PT Astra Serif" w:cs="PT Astra Serif"/>
          <w:sz w:val="28"/>
          <w:szCs w:val="28"/>
          <w:vertAlign w:val="superscript"/>
        </w:rPr>
        <w:t xml:space="preserve">3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(из них 3,2 тыс. м</w:t>
      </w:r>
      <w:r>
        <w:rPr>
          <w:rFonts w:ascii="PT Astra Serif" w:hAnsi="PT Astra Serif" w:eastAsia="PT Astra Serif" w:cs="PT Astra Serif"/>
          <w:sz w:val="28"/>
          <w:szCs w:val="28"/>
          <w:vertAlign w:val="superscript"/>
        </w:rPr>
        <w:t xml:space="preserve">3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приходится на незаконные рубки с выявленными нарушителями), ущерб от незаконных рубок составил 117,6 млн. руб.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(из них 30,3 млн. руб. приходится на незаконные рубки с выявленными нарушителями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), возбуждено 251 уголовное дело, привлечено к уголовной ответственности 90 лиц. По 410 возбужденным делам об административных правонарушениях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к административной ответственности привлечено 369 лиц, наложены административные штрафы на общую сумму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5,3 млн. руб., взыскано штрафов на общую сумму 9,5 млн. руб. (с учетом переходящей с 2021 года задолженности).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 1 квартале 2023 года Департаментом совместно с ОГКУ 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Томсклес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 проведено 974 проверочных мероприятия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(из них 23 совместно с правоохранительными органами), выявлено 23 нарушения требований лесного законодательства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(из них 1 административное правонарушение).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По результатам проверочных мероприятий в 1 квартале 2023 года выявлено 22 случая незаконной рубки лесных насаждений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(из них 14 случаев с установленными нарушителями), объем незаконных рубок составил 2,4 тыс. м</w:t>
      </w:r>
      <w:r>
        <w:rPr>
          <w:rFonts w:ascii="PT Astra Serif" w:hAnsi="PT Astra Serif" w:eastAsia="PT Astra Serif" w:cs="PT Astra Serif"/>
          <w:sz w:val="28"/>
          <w:szCs w:val="28"/>
          <w:vertAlign w:val="superscript"/>
        </w:rPr>
        <w:t xml:space="preserve">3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(из них 0,2 тыс. м</w:t>
      </w:r>
      <w:r>
        <w:rPr>
          <w:rFonts w:ascii="PT Astra Serif" w:hAnsi="PT Astra Serif" w:eastAsia="PT Astra Serif" w:cs="PT Astra Serif"/>
          <w:sz w:val="28"/>
          <w:szCs w:val="28"/>
          <w:vertAlign w:val="superscript"/>
        </w:rPr>
        <w:t xml:space="preserve">3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приходится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на незаконные рубки с выявленными нарушителями), ущерб от незаконных рубок составил 20,1 млн. руб. (из них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1,7 млн. руб. приходится на незаконные рубки с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выявленными нарушителями), возбуждено 22 уголовных дела. По 6 рассмотренным делам об административных правонарушениях к административной ответственности привлечены 6 лиц, наложены административные штрафы на общую сумму 0,01 млн. руб., взыскано штрафов на общую сумму 0,3 млн. руб. (с учетом переходящей с 2022 года задолженности).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bCs/>
          <w:sz w:val="28"/>
          <w:szCs w:val="28"/>
        </w:rPr>
        <w:t xml:space="preserve">По итогам 2022 года, в сравнении с 2021 годом,  наблюдается снижение</w:t>
      </w:r>
      <w:r>
        <w:rPr>
          <w:rFonts w:ascii="PT Astra Serif" w:hAnsi="PT Astra Serif" w:eastAsia="PT Astra Serif" w:cs="PT Astra Serif"/>
          <w:bCs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</w:rPr>
        <w:t xml:space="preserve">на 17 % числа незаконных рубок,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выявленных на землях лесного фонда Томской области (с 301- в 2021 году до 251 – в 2022 году). Снижение на 42% количества незаконных рубок лесных насаждений наблюдается и в 1 квартале 2023 года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 сравнению с аналогичным периодом прошлого года (38 – в 1 квартале 2022 года, 22 – в 1 квартале 2023 года).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Рост показателя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выявляемости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лиц, совершивших незаконные рубки, в 2022 году в сравнении с 2021 годом, а также в 1 квартале 2023 года в сравнении с аналогичным периодом прошлого года, находится на уровне 3%.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bCs/>
          <w:sz w:val="28"/>
          <w:szCs w:val="28"/>
        </w:rPr>
        <w:t xml:space="preserve">По итогам 2022 года, в сравнении с 2021 годом,  наблюдается уменьшение</w:t>
      </w:r>
      <w:r>
        <w:rPr>
          <w:rFonts w:ascii="PT Astra Serif" w:hAnsi="PT Astra Serif" w:eastAsia="PT Astra Serif" w:cs="PT Astra Serif"/>
          <w:bCs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</w:rPr>
        <w:t xml:space="preserve">на 52 % количества осуществленных проверочных мероприятий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(с 9400 - в 2021 году до 4918 – в 2022 году), на 55 % снизился показатель по привлечению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к административной ответственности лиц, нарушивших требования лесного законодательства (с 666 - в 2021 году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до 369 – в 2022 году).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Уменьшение на 55% </w:t>
      </w:r>
      <w:r>
        <w:rPr>
          <w:rFonts w:ascii="PT Astra Serif" w:hAnsi="PT Astra Serif" w:eastAsia="PT Astra Serif" w:cs="PT Astra Serif"/>
          <w:bCs/>
          <w:sz w:val="28"/>
          <w:szCs w:val="28"/>
        </w:rPr>
        <w:t xml:space="preserve">количества осуществленных проверочных мероприятий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наблюдается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 в 1 квартале 2023 года по сравнению с аналогичным периодом прошлого года (1762 – в 1 квартале 2022 года,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974 – в 1 квартале 2023 года), на 17 % снизился показатель по привлечению к административной ответственности лиц, нарушивших требования лесного законодательства (с 35 – в 1 квартале 2022 года, до 6 – в 1 квартале 2023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года).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Снижение вышеуказанных показателей связано с введением моратория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на проведение проверок, установленного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соответствии с постановлением Правительства Российской Федерации от 10.03.2022 № 336.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Вышеприведенных показателей удалось достичь благодаря созданию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регионе системы контроля в лесных отношениях, сложившейся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посредством формирования системы приема и передачи сообщений о совершаемых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лесонарушениях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совершенствованию межведомственного взаимодействия, образованию экстерриториальных подразделений лесных инспекторов.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Положительно себя зарекомендовала практика проведения совместных межведомственных мероприятий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 сотрудниками ОМВД России по Томской области, направленных на профилактику, выявление и пресечение нарушений требований лесного законодательства. </w:t>
      </w:r>
      <w:r>
        <w:rPr>
          <w:rFonts w:ascii="PT Astra Serif" w:hAnsi="PT Astra Serif" w:eastAsia="PT Astra Serif" w:cs="PT Astra Serif"/>
          <w:bCs/>
          <w:sz w:val="28"/>
          <w:szCs w:val="28"/>
        </w:rPr>
        <w:t xml:space="preserve">По итогам 2022 года, в сравнении с 2021 годом,  наблюдается увеличение количества проведенных совместно</w:t>
      </w:r>
      <w:r>
        <w:rPr>
          <w:rFonts w:ascii="PT Astra Serif" w:hAnsi="PT Astra Serif" w:eastAsia="PT Astra Serif" w:cs="PT Astra Serif"/>
          <w:bCs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</w:rPr>
        <w:t xml:space="preserve">с правоохранительными органами проверочных мероприятий с 4 до 7%.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 настоящее время приоритетным и более эффективным способом выявления фактов незаконных рубок лесных насаждений,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 лиц их совершивших, остается проведение систематических мероприятий по патрулированию лесов.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 целью повышения эффективности проведения на территории Томской области мероприятий, направленных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на выявление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 пресечение нарушений требований лесного законодательства и минимизации рисков возникновения личной заинтересованности, связанной с проживанием работников лесного хозяйства в населенных пунктах, расположенных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непосредственной близости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 контролируемой территорией, в 2020 году при ОГКУ 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Томсклес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 создано экстерриториальное подразделение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основной задачей которого является выявление и пресечение нарушений требований лесного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законодательства, а также мониторинг пожарной опасности в течение пожароопасного сезона на всей территории лесного фонда Томской области. </w:t>
      </w:r>
    </w:p>
    <w:p>
      <w:pPr>
        <w:spacing w:after="0" w:line="360" w:lineRule="auto"/>
        <w:ind w:firstLine="708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Образование такого подразделения позволило увеличить показатель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выявляемости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лиц совершивших незаконную рубку с 36%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2020 году до 44 %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 итогам 2022 года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и до 63,6 % по итогам 1 квартала 2023 года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.</w:t>
      </w:r>
      <w:bookmarkStart w:id="0" w:name="_GoBack"/>
      <w:bookmarkEnd w:id="0"/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</w:p>
    <w:p>
      <w:pPr>
        <w:spacing w:after="0" w:line="360" w:lineRule="auto"/>
        <w:ind w:firstLine="709"/>
        <w:contextualSpacing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В 202</w:t>
      </w:r>
      <w:r>
        <w:rPr>
          <w:rFonts w:ascii="PT Astra Serif" w:hAnsi="PT Astra Serif"/>
          <w:bCs/>
          <w:sz w:val="28"/>
          <w:szCs w:val="28"/>
        </w:rPr>
        <w:t xml:space="preserve">3</w:t>
      </w:r>
      <w:r>
        <w:rPr>
          <w:rFonts w:ascii="PT Astra Serif" w:hAnsi="PT Astra Serif"/>
          <w:bCs/>
          <w:sz w:val="28"/>
          <w:szCs w:val="28"/>
        </w:rPr>
        <w:t xml:space="preserve"> году Депа</w:t>
      </w:r>
      <w:r>
        <w:rPr>
          <w:rFonts w:ascii="PT Astra Serif" w:hAnsi="PT Astra Serif"/>
          <w:bCs/>
          <w:sz w:val="28"/>
          <w:szCs w:val="28"/>
        </w:rPr>
        <w:t xml:space="preserve">ртаментом продолжена </w:t>
      </w:r>
      <w:r>
        <w:rPr>
          <w:rFonts w:ascii="PT Astra Serif" w:hAnsi="PT Astra Serif"/>
          <w:bCs/>
          <w:sz w:val="28"/>
          <w:szCs w:val="28"/>
        </w:rPr>
        <w:t xml:space="preserve">претензионн</w:t>
      </w:r>
      <w:r>
        <w:rPr>
          <w:rFonts w:ascii="PT Astra Serif" w:hAnsi="PT Astra Serif"/>
          <w:bCs/>
          <w:sz w:val="28"/>
          <w:szCs w:val="28"/>
        </w:rPr>
        <w:t xml:space="preserve">о</w:t>
      </w:r>
      <w:r>
        <w:rPr>
          <w:rFonts w:ascii="PT Astra Serif" w:hAnsi="PT Astra Serif"/>
          <w:bCs/>
          <w:sz w:val="28"/>
          <w:szCs w:val="28"/>
        </w:rPr>
        <w:t xml:space="preserve">-исковая работа по понуждению лиц использующих леса                        к устранению ранее допущенных нарушений. При проведении данной работы к арендаторам лесных участков активно применяется такая мера судебного понуждения как приостановка деятельности по заготовке древесины до полного устранения допущенных нарушений лесного законодательства.</w:t>
      </w:r>
    </w:p>
    <w:p>
      <w:pPr>
        <w:spacing w:after="0" w:line="360" w:lineRule="auto"/>
        <w:ind w:firstLine="709"/>
        <w:contextualSpacing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В </w:t>
      </w:r>
      <w:r>
        <w:rPr>
          <w:rFonts w:ascii="PT Astra Serif" w:hAnsi="PT Astra Serif"/>
          <w:bCs/>
          <w:sz w:val="28"/>
          <w:szCs w:val="28"/>
        </w:rPr>
        <w:t xml:space="preserve">настоящее время </w:t>
      </w:r>
      <w:r>
        <w:rPr>
          <w:rFonts w:ascii="PT Astra Serif" w:hAnsi="PT Astra Serif"/>
          <w:bCs/>
          <w:sz w:val="28"/>
          <w:szCs w:val="28"/>
        </w:rPr>
        <w:t xml:space="preserve">в суд</w:t>
      </w:r>
      <w:r>
        <w:rPr>
          <w:rFonts w:ascii="PT Astra Serif" w:hAnsi="PT Astra Serif"/>
          <w:bCs/>
          <w:sz w:val="28"/>
          <w:szCs w:val="28"/>
        </w:rPr>
        <w:t xml:space="preserve">е рассматривается 18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 xml:space="preserve">исковых заявлени</w:t>
      </w:r>
      <w:r>
        <w:rPr>
          <w:rFonts w:ascii="PT Astra Serif" w:hAnsi="PT Astra Serif"/>
          <w:bCs/>
          <w:sz w:val="28"/>
          <w:szCs w:val="28"/>
        </w:rPr>
        <w:t xml:space="preserve">я</w:t>
      </w:r>
      <w:r>
        <w:rPr>
          <w:rFonts w:ascii="PT Astra Serif" w:hAnsi="PT Astra Serif"/>
          <w:bCs/>
          <w:sz w:val="28"/>
          <w:szCs w:val="28"/>
        </w:rPr>
        <w:t xml:space="preserve"> о понуждении арендаторов лесных </w:t>
      </w:r>
      <w:r>
        <w:rPr>
          <w:rFonts w:ascii="PT Astra Serif" w:hAnsi="PT Astra Serif"/>
          <w:bCs/>
          <w:sz w:val="28"/>
          <w:szCs w:val="28"/>
        </w:rPr>
        <w:t xml:space="preserve">участков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 xml:space="preserve">                </w:t>
      </w:r>
      <w:r>
        <w:rPr>
          <w:rFonts w:ascii="PT Astra Serif" w:hAnsi="PT Astra Serif"/>
          <w:bCs/>
          <w:sz w:val="28"/>
          <w:szCs w:val="28"/>
        </w:rPr>
        <w:t xml:space="preserve">не выполнивших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 xml:space="preserve">в установленные сроки мероприятия по лесовосстановлению к устранению допущенных нарушений. </w:t>
      </w:r>
      <w:r>
        <w:rPr>
          <w:rFonts w:ascii="PT Astra Serif" w:hAnsi="PT Astra Serif"/>
          <w:sz w:val="28"/>
          <w:szCs w:val="28"/>
        </w:rPr>
        <w:t xml:space="preserve">В рамках данных исков Департаментом заявлены требования о приостановке деятельности в случае </w:t>
      </w:r>
      <w:r>
        <w:rPr>
          <w:rFonts w:ascii="PT Astra Serif" w:hAnsi="PT Astra Serif"/>
          <w:sz w:val="28"/>
          <w:szCs w:val="28"/>
        </w:rPr>
        <w:t xml:space="preserve">не выполнения</w:t>
      </w:r>
      <w:r>
        <w:rPr>
          <w:rFonts w:ascii="PT Astra Serif" w:hAnsi="PT Astra Serif"/>
          <w:sz w:val="28"/>
          <w:szCs w:val="28"/>
        </w:rPr>
        <w:t xml:space="preserve"> мероприятий в установленные сроки.</w:t>
      </w:r>
      <w:r>
        <w:rPr>
          <w:rFonts w:ascii="PT Astra Serif" w:hAnsi="PT Astra Serif"/>
          <w:bCs/>
          <w:sz w:val="28"/>
          <w:szCs w:val="28"/>
        </w:rPr>
        <w:t xml:space="preserve"> </w:t>
      </w:r>
    </w:p>
    <w:p>
      <w:pPr>
        <w:spacing w:after="0" w:line="36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</w:t>
      </w:r>
      <w:r>
        <w:rPr>
          <w:rFonts w:ascii="PT Astra Serif" w:hAnsi="PT Astra Serif"/>
          <w:sz w:val="28"/>
          <w:szCs w:val="28"/>
        </w:rPr>
        <w:t xml:space="preserve">анная практика носит положительный эффект, поскольку ещё до вынесения судом решения большинство </w:t>
      </w:r>
      <w:r>
        <w:rPr>
          <w:rFonts w:ascii="PT Astra Serif" w:hAnsi="PT Astra Serif"/>
          <w:sz w:val="28"/>
          <w:szCs w:val="28"/>
        </w:rPr>
        <w:t xml:space="preserve">                              </w:t>
      </w:r>
      <w:r>
        <w:rPr>
          <w:rFonts w:ascii="PT Astra Serif" w:hAnsi="PT Astra Serif"/>
          <w:sz w:val="28"/>
          <w:szCs w:val="28"/>
        </w:rPr>
        <w:t xml:space="preserve">из арендаторов лесных участков принимают меры, направленные на выполнение мероприятий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по воспроизводству лесов </w:t>
      </w:r>
      <w:r>
        <w:rPr>
          <w:rFonts w:ascii="PT Astra Serif" w:hAnsi="PT Astra Serif"/>
          <w:sz w:val="28"/>
          <w:szCs w:val="28"/>
        </w:rPr>
        <w:t xml:space="preserve">                 </w:t>
      </w:r>
      <w:r>
        <w:rPr>
          <w:rFonts w:ascii="PT Astra Serif" w:hAnsi="PT Astra Serif"/>
          <w:sz w:val="28"/>
          <w:szCs w:val="28"/>
        </w:rPr>
        <w:t xml:space="preserve">с целью избежать приостановления деятельности.</w:t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bCs/>
          <w:sz w:val="28"/>
          <w:szCs w:val="28"/>
        </w:rPr>
      </w:pPr>
    </w:p>
    <w:sectPr>
      <w:pgSz w:w="16838" w:h="11906" w:orient="landscape"/>
      <w:pgMar w:top="993" w:right="678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Tahoma">
    <w:panose1 w:val="020B06040305040402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5" w:customStyle="1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haracters>8542</Characters>
  <CharactersWithSpaces>10020</CharactersWithSpaces>
  <Company/>
  <DocSecurity>0</DocSecurity>
  <HyperlinksChanged>false</HyperlinksChanged>
  <Lines>71</Lines>
  <LinksUpToDate>false</LinksUpToDate>
  <Pages>5</Pages>
  <Paragraphs>20</Paragraphs>
  <ScaleCrop>false</ScaleCrop>
  <SharedDoc>false</SharedDoc>
  <Template>Normal</Template>
  <TotalTime>34</TotalTime>
  <Words>1498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 И. Струков</dc:creator>
  <cp:lastModifiedBy>Александр Сергеевич Зайцев</cp:lastModifiedBy>
  <cp:revision>5</cp:revision>
  <cp:lastPrinted>2020-12-17T02:56:00Z</cp:lastPrinted>
  <dcterms:created xsi:type="dcterms:W3CDTF">2023-04-27T08:00:00Z</dcterms:created>
  <dcterms:modified xsi:type="dcterms:W3CDTF">2023-04-27T08:38:00Z</dcterms:modified>
</cp:coreProperties>
</file>