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 w:cs="PT Astra Serif" w:eastAsia="PT Astra Serif"/>
          <w:spacing w:val="20"/>
          <w:sz w:val="26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</w:r>
      <w:bookmarkStart w:id="0" w:name="_MON_1291212760"/>
      <w:r>
        <w:rPr>
          <w:rFonts w:ascii="PT Astra Serif" w:hAnsi="PT Astra Serif" w:cs="PT Astra Serif" w:eastAsia="PT Astra Serif"/>
          <w:sz w:val="26"/>
          <w:highlight w:val="white"/>
        </w:rPr>
      </w:r>
      <w:bookmarkStart w:id="1" w:name="_MON_1151243691"/>
      <w:r>
        <w:rPr>
          <w:rFonts w:ascii="PT Astra Serif" w:hAnsi="PT Astra Serif" w:cs="PT Astra Serif" w:eastAsia="PT Astra Serif"/>
          <w:sz w:val="26"/>
          <w:highlight w:val="white"/>
        </w:rPr>
      </w:r>
      <w:bookmarkEnd w:id="0"/>
      <w:r>
        <w:rPr>
          <w:rFonts w:ascii="PT Astra Serif" w:hAnsi="PT Astra Serif" w:cs="PT Astra Serif" w:eastAsia="PT Astra Serif"/>
          <w:sz w:val="26"/>
          <w:highlight w:val="white"/>
        </w:rPr>
      </w:r>
      <w:bookmarkEnd w:id="1"/>
      <w:r>
        <w:rPr>
          <w:rFonts w:ascii="PT Astra Serif" w:hAnsi="PT Astra Serif" w:cs="PT Astra Serif" w:eastAsia="PT Astra Serif"/>
          <w:sz w:val="26"/>
          <w:highlight w:val="white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4210" cy="612775"/>
                <wp:effectExtent l="0" t="0" r="2540" b="0"/>
                <wp:docPr id="1" name="Рисунок 1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64210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2.3pt;height:48.2pt;" stroked="f">
                <v:path textboxrect="0,0,0,0"/>
                <v:imagedata r:id="rId10" o:title=""/>
              </v:shape>
            </w:pict>
          </mc:Fallback>
        </mc:AlternateContent>
      </w:r>
      <w:r>
        <w:rPr>
          <w:highlight w:val="white"/>
        </w:rPr>
      </w:r>
      <w:r/>
    </w:p>
    <w:p>
      <w:pPr>
        <w:jc w:val="center"/>
        <w:spacing w:after="0" w:line="240" w:lineRule="auto"/>
        <w:rPr>
          <w:rFonts w:ascii="PT Astra Serif" w:hAnsi="PT Astra Serif" w:cs="PT Astra Serif" w:eastAsia="PT Astra Serif"/>
          <w:spacing w:val="20"/>
          <w:sz w:val="26"/>
          <w:szCs w:val="12"/>
          <w:highlight w:val="white"/>
        </w:rPr>
      </w:pPr>
      <w:r>
        <w:rPr>
          <w:rFonts w:ascii="PT Astra Serif" w:hAnsi="PT Astra Serif" w:cs="PT Astra Serif" w:eastAsia="PT Astra Serif"/>
          <w:spacing w:val="20"/>
          <w:sz w:val="26"/>
          <w:szCs w:val="12"/>
          <w:highlight w:val="white"/>
          <w:lang w:eastAsia="ru-RU"/>
        </w:rPr>
      </w:r>
      <w:r>
        <w:rPr>
          <w:highlight w:val="white"/>
        </w:rPr>
      </w:r>
      <w:r/>
    </w:p>
    <w:p>
      <w:pPr>
        <w:jc w:val="center"/>
        <w:spacing w:after="0" w:line="240" w:lineRule="exact"/>
        <w:rPr>
          <w:rFonts w:ascii="PT Astra Serif" w:hAnsi="PT Astra Serif" w:cs="PT Astra Serif" w:eastAsia="PT Astra Serif"/>
          <w:b/>
          <w:spacing w:val="20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b/>
          <w:spacing w:val="20"/>
          <w:sz w:val="26"/>
          <w:szCs w:val="26"/>
          <w:highlight w:val="white"/>
          <w:lang w:eastAsia="ru-RU"/>
        </w:rPr>
        <w:t xml:space="preserve">ДЕПАРТАМЕНТ ЛЕСНОГО ХОЗЯЙСТВА</w:t>
      </w:r>
      <w:r>
        <w:rPr>
          <w:highlight w:val="white"/>
        </w:rPr>
      </w:r>
      <w:r/>
    </w:p>
    <w:p>
      <w:pPr>
        <w:jc w:val="center"/>
        <w:spacing w:after="0" w:line="240" w:lineRule="exact"/>
        <w:rPr>
          <w:rFonts w:ascii="PT Astra Serif" w:hAnsi="PT Astra Serif" w:cs="PT Astra Serif" w:eastAsia="PT Astra Serif"/>
          <w:b/>
          <w:spacing w:val="20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b/>
          <w:spacing w:val="20"/>
          <w:sz w:val="26"/>
          <w:szCs w:val="26"/>
          <w:highlight w:val="white"/>
          <w:lang w:eastAsia="ru-RU"/>
        </w:rPr>
        <w:t xml:space="preserve">ТОМСКОЙ ОБЛАСТИ</w:t>
      </w:r>
      <w:r>
        <w:rPr>
          <w:highlight w:val="white"/>
        </w:rPr>
      </w:r>
      <w:r/>
    </w:p>
    <w:p>
      <w:pPr>
        <w:jc w:val="center"/>
        <w:spacing w:after="0" w:line="240" w:lineRule="exact"/>
        <w:rPr>
          <w:rFonts w:ascii="PT Astra Serif" w:hAnsi="PT Astra Serif" w:cs="PT Astra Serif" w:eastAsia="PT Astra Serif"/>
          <w:b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b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jc w:val="center"/>
        <w:spacing w:after="0" w:line="240" w:lineRule="exact"/>
        <w:rPr>
          <w:rFonts w:ascii="PT Astra Serif" w:hAnsi="PT Astra Serif" w:cs="PT Astra Serif" w:eastAsia="PT Astra Serif"/>
          <w:b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b/>
          <w:sz w:val="26"/>
          <w:szCs w:val="26"/>
          <w:highlight w:val="white"/>
          <w:lang w:eastAsia="ru-RU"/>
        </w:rPr>
        <w:t xml:space="preserve">РАСПОРЯЖЕНИЕ</w:t>
      </w:r>
      <w:r>
        <w:rPr>
          <w:highlight w:val="white"/>
        </w:rPr>
      </w:r>
      <w:r/>
    </w:p>
    <w:p>
      <w:pPr>
        <w:jc w:val="center"/>
        <w:spacing w:after="0" w:line="240" w:lineRule="exact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jc w:val="center"/>
        <w:spacing w:after="0" w:line="240" w:lineRule="exact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02.12.2022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                                                                                 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                 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                №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1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140</w:t>
      </w:r>
      <w:r>
        <w:rPr>
          <w:highlight w:val="white"/>
        </w:rPr>
      </w:r>
      <w:r/>
    </w:p>
    <w:p>
      <w:pPr>
        <w:jc w:val="center"/>
        <w:spacing w:after="0" w:line="240" w:lineRule="exact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exact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  <w:outlineLvl w:val="0"/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jc w:val="center"/>
        <w:spacing w:after="0" w:line="240" w:lineRule="exact"/>
        <w:widowControl w:val="off"/>
        <w:rPr>
          <w:rFonts w:ascii="PT Astra Serif" w:hAnsi="PT Astra Serif" w:cs="PT Astra Serif" w:eastAsia="PT Astra Serif"/>
          <w:b/>
          <w:sz w:val="26"/>
          <w:szCs w:val="26"/>
          <w:highlight w:val="white"/>
        </w:rPr>
        <w:outlineLvl w:val="0"/>
      </w:pPr>
      <w:r>
        <w:rPr>
          <w:rFonts w:ascii="PT Astra Serif" w:hAnsi="PT Astra Serif" w:cs="PT Astra Serif" w:eastAsia="PT Astra Serif"/>
          <w:b/>
          <w:sz w:val="26"/>
          <w:szCs w:val="26"/>
          <w:highlight w:val="white"/>
          <w:lang w:eastAsia="ru-RU"/>
        </w:rPr>
        <w:t xml:space="preserve">Об утверждении программы профилактики </w:t>
      </w:r>
      <w:r>
        <w:rPr>
          <w:highlight w:val="white"/>
        </w:rPr>
      </w:r>
      <w:r/>
    </w:p>
    <w:p>
      <w:pPr>
        <w:jc w:val="center"/>
        <w:spacing w:after="0" w:line="240" w:lineRule="exact"/>
        <w:widowControl w:val="off"/>
        <w:rPr>
          <w:rFonts w:ascii="PT Astra Serif" w:hAnsi="PT Astra Serif" w:cs="PT Astra Serif" w:eastAsia="PT Astra Serif"/>
          <w:b/>
          <w:bCs/>
          <w:sz w:val="26"/>
          <w:szCs w:val="26"/>
          <w:highlight w:val="white"/>
        </w:rPr>
        <w:outlineLvl w:val="0"/>
      </w:pPr>
      <w:r>
        <w:rPr>
          <w:rFonts w:ascii="PT Astra Serif" w:hAnsi="PT Astra Serif" w:cs="PT Astra Serif" w:eastAsia="PT Astra Serif"/>
          <w:b/>
          <w:bCs/>
          <w:sz w:val="26"/>
          <w:szCs w:val="26"/>
          <w:highlight w:val="white"/>
          <w:lang w:eastAsia="ru-RU"/>
        </w:rPr>
        <w:t xml:space="preserve">рисков причинения вреда (ущерба) охраняемым законом ценностям </w:t>
      </w:r>
      <w:r>
        <w:rPr>
          <w:highlight w:val="white"/>
        </w:rPr>
      </w:r>
      <w:r/>
    </w:p>
    <w:p>
      <w:pPr>
        <w:jc w:val="center"/>
        <w:spacing w:after="0" w:line="240" w:lineRule="exact"/>
        <w:widowControl w:val="off"/>
        <w:rPr>
          <w:rFonts w:ascii="PT Astra Serif" w:hAnsi="PT Astra Serif" w:cs="PT Astra Serif" w:eastAsia="PT Astra Serif"/>
          <w:b/>
          <w:sz w:val="26"/>
          <w:szCs w:val="26"/>
          <w:highlight w:val="white"/>
        </w:rPr>
        <w:outlineLvl w:val="0"/>
      </w:pPr>
      <w:r>
        <w:rPr>
          <w:rFonts w:ascii="PT Astra Serif" w:hAnsi="PT Astra Serif" w:cs="PT Astra Serif" w:eastAsia="PT Astra Serif"/>
          <w:b/>
          <w:sz w:val="26"/>
          <w:szCs w:val="26"/>
          <w:highlight w:val="white"/>
          <w:lang w:eastAsia="ru-RU"/>
        </w:rPr>
        <w:t xml:space="preserve">в области</w:t>
      </w:r>
      <w:r>
        <w:rPr>
          <w:rFonts w:ascii="PT Astra Serif" w:hAnsi="PT Astra Serif" w:cs="PT Astra Serif" w:eastAsia="PT Astra Serif"/>
          <w:b/>
          <w:sz w:val="26"/>
          <w:szCs w:val="26"/>
          <w:highlight w:val="white"/>
          <w:lang w:eastAsia="ru-RU"/>
        </w:rPr>
        <w:t xml:space="preserve"> лесного законодательства</w:t>
      </w:r>
      <w:r>
        <w:rPr>
          <w:rFonts w:ascii="PT Astra Serif" w:hAnsi="PT Astra Serif" w:cs="PT Astra Serif" w:eastAsia="PT Astra Serif"/>
          <w:b/>
          <w:sz w:val="26"/>
          <w:szCs w:val="26"/>
          <w:highlight w:val="white"/>
          <w:lang w:eastAsia="ru-RU"/>
        </w:rPr>
        <w:t xml:space="preserve"> на 202</w:t>
      </w:r>
      <w:r>
        <w:rPr>
          <w:rFonts w:ascii="PT Astra Serif" w:hAnsi="PT Astra Serif" w:cs="PT Astra Serif" w:eastAsia="PT Astra Serif"/>
          <w:b/>
          <w:sz w:val="26"/>
          <w:szCs w:val="26"/>
          <w:highlight w:val="white"/>
          <w:lang w:eastAsia="ru-RU"/>
        </w:rPr>
        <w:t xml:space="preserve">3</w:t>
      </w:r>
      <w:r>
        <w:rPr>
          <w:rFonts w:ascii="PT Astra Serif" w:hAnsi="PT Astra Serif" w:cs="PT Astra Serif" w:eastAsia="PT Astra Serif"/>
          <w:b/>
          <w:sz w:val="26"/>
          <w:szCs w:val="26"/>
          <w:highlight w:val="white"/>
          <w:lang w:eastAsia="ru-RU"/>
        </w:rPr>
        <w:t xml:space="preserve"> год</w:t>
      </w:r>
      <w:r>
        <w:rPr>
          <w:highlight w:val="white"/>
        </w:rPr>
      </w:r>
      <w:r/>
    </w:p>
    <w:p>
      <w:pPr>
        <w:jc w:val="center"/>
        <w:spacing w:after="0" w:line="240" w:lineRule="auto"/>
        <w:rPr>
          <w:rFonts w:ascii="PT Astra Serif" w:hAnsi="PT Astra Serif" w:cs="PT Astra Serif" w:eastAsia="PT Astra Serif"/>
          <w:b/>
          <w:sz w:val="26"/>
          <w:szCs w:val="26"/>
          <w:highlight w:val="white"/>
        </w:rPr>
        <w:outlineLvl w:val="0"/>
      </w:pPr>
      <w:r>
        <w:rPr>
          <w:rFonts w:ascii="PT Astra Serif" w:hAnsi="PT Astra Serif" w:cs="PT Astra Serif" w:eastAsia="PT Astra Serif"/>
          <w:b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sz w:val="26"/>
          <w:highlight w:val="white"/>
        </w:rPr>
        <w:outlineLvl w:val="0"/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В соответствии со статьей 44 Федерального закона от 31.07.2020 № 248-ФЗ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  <w:t xml:space="preserve">«О государственном контроле (надзоре) и муниципальном контроле в Российской Федерации», постановлением Правительства Российской Федерации от 25.06.2021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  <w:t xml:space="preserve">№ 990 «Об утверждении Правил разработки и утверждения контро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льными (надзорными) органами программы профилактики рисков причинения вреда (ущерба) охраняемым законом ценностям», а также в целях предупреждения нарушения юридическими лицами и индивидуальными предпринимателями обязательных требований, соблюдение которых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оценивается Департаментом лесного хозяйства Томской области и его подведомственным учреждением ОГКУ «Томсклес»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  <w:t xml:space="preserve">при осуществлении федерального государственного контроля (надзора) в лесах, расположенных на землях лесного фонда на территории Томской области, устранения причин, факторов и условий, способствующих нарушению таких обязательных требований: </w:t>
      </w:r>
      <w:r>
        <w:rPr>
          <w:highlight w:val="white"/>
        </w:rPr>
      </w:r>
      <w:r/>
    </w:p>
    <w:p>
      <w:pPr>
        <w:pStyle w:val="833"/>
        <w:numPr>
          <w:ilvl w:val="0"/>
          <w:numId w:val="5"/>
        </w:numPr>
        <w:ind w:left="0" w:firstLine="709"/>
        <w:jc w:val="both"/>
        <w:spacing w:after="0" w:line="240" w:lineRule="auto"/>
        <w:rPr>
          <w:rFonts w:ascii="PT Astra Serif" w:hAnsi="PT Astra Serif" w:cs="PT Astra Serif" w:eastAsia="PT Astra Serif"/>
          <w:sz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Утвердить программу профилактики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рисков причинения вреда (ущерба) охраняемым законом ценностям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в области лесного законодательства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на 202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3 год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согласно приложению № 1 к настоящему распоряжению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.</w:t>
      </w:r>
      <w:r>
        <w:rPr>
          <w:highlight w:val="white"/>
        </w:rPr>
      </w:r>
      <w:r/>
    </w:p>
    <w:p>
      <w:pPr>
        <w:pStyle w:val="835"/>
        <w:numPr>
          <w:ilvl w:val="0"/>
          <w:numId w:val="5"/>
        </w:numPr>
        <w:ind w:left="0" w:firstLine="709"/>
        <w:jc w:val="both"/>
        <w:rPr>
          <w:rFonts w:ascii="PT Astra Serif" w:hAnsi="PT Astra Serif" w:cs="PT Astra Serif" w:eastAsia="PT Astra Serif"/>
          <w:sz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редседател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ю комитета государственного лесного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и пожарного надзора Департамента лесного хозяйства Томской области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Зайцеву А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.С.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разместить программу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профилактики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рисков причинения вреда (ущерба) охраняемым законом ценностям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  <w:t xml:space="preserve">в области лесного законодательства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на 202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3 год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на официальном сайте Департамента лесного хозяйства Томской области (</w:t>
      </w:r>
      <w:hyperlink r:id="rId11" w:tooltip="https://deples.tomsk.gov.ru" w:history="1">
        <w:r>
          <w:rPr>
            <w:rStyle w:val="826"/>
            <w:rFonts w:ascii="PT Astra Serif" w:hAnsi="PT Astra Serif" w:cs="PT Astra Serif" w:eastAsia="PT Astra Serif"/>
            <w:color w:val="auto"/>
            <w:sz w:val="26"/>
            <w:szCs w:val="26"/>
            <w:highlight w:val="white"/>
            <w:u w:val="none"/>
            <w:lang w:eastAsia="ru-RU"/>
          </w:rPr>
          <w:t xml:space="preserve">https://deples.tomsk.gov.ru</w:t>
        </w:r>
      </w:hyperlink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).</w:t>
      </w:r>
      <w:r>
        <w:rPr>
          <w:highlight w:val="white"/>
        </w:rPr>
      </w:r>
      <w:r/>
    </w:p>
    <w:p>
      <w:pPr>
        <w:pStyle w:val="835"/>
        <w:numPr>
          <w:ilvl w:val="0"/>
          <w:numId w:val="5"/>
        </w:numPr>
        <w:ind w:left="0" w:firstLine="709"/>
        <w:jc w:val="both"/>
        <w:rPr>
          <w:rFonts w:ascii="PT Astra Serif" w:hAnsi="PT Astra Serif" w:cs="PT Astra Serif" w:eastAsia="PT Astra Serif"/>
          <w:sz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исполнением настоящего распоряжения возложить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  <w:br/>
        <w:t xml:space="preserve">на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заместителя начальника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Департамента лесного хозяйства Томской области</w:t>
        <w:br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Струкова А.И.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Н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ачальник департамента                                 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                                         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            А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С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.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Конев</w:t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ind w:left="6094" w:right="0" w:firstLine="0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Приложение № 1 к распоряжению</w:t>
      </w:r>
      <w:r>
        <w:rPr>
          <w:highlight w:val="white"/>
        </w:rPr>
      </w:r>
      <w:r/>
    </w:p>
    <w:p>
      <w:pPr>
        <w:ind w:left="6094" w:right="0" w:firstLine="0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Департамента лесного хозяйства</w:t>
      </w:r>
      <w:r>
        <w:rPr>
          <w:rFonts w:ascii="PT Astra Serif" w:hAnsi="PT Astra Serif" w:cs="PT Astra Serif" w:eastAsia="PT Astra Serif"/>
          <w:sz w:val="26"/>
          <w:highlight w:val="white"/>
        </w:rPr>
        <w:br/>
        <w:t xml:space="preserve">                            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Томской области</w:t>
      </w:r>
      <w:r>
        <w:rPr>
          <w:highlight w:val="white"/>
        </w:rPr>
      </w:r>
      <w:r/>
    </w:p>
    <w:p>
      <w:pPr>
        <w:ind w:left="6094" w:right="0" w:firstLine="0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Cs w:val="26"/>
          <w:highlight w:val="non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от 02.12.2022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 № 1140</w:t>
      </w:r>
      <w:r>
        <w:rPr>
          <w:highlight w:val="white"/>
        </w:rPr>
      </w:r>
      <w:r/>
    </w:p>
    <w:p>
      <w:pPr>
        <w:ind w:left="6094" w:right="0" w:firstLine="0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highlight w:val="none"/>
        </w:rPr>
      </w:r>
      <w:r>
        <w:rPr>
          <w:rFonts w:ascii="PT Astra Serif" w:hAnsi="PT Astra Serif" w:cs="PT Astra Serif" w:eastAsia="PT Astra Serif"/>
          <w:highlight w:val="none"/>
        </w:rPr>
      </w:r>
      <w:r/>
    </w:p>
    <w:p>
      <w:pPr>
        <w:ind w:firstLine="54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/>
          <w:sz w:val="26"/>
          <w:szCs w:val="26"/>
          <w:highlight w:val="white"/>
          <w:lang w:eastAsia="ru-RU"/>
        </w:rPr>
        <w:t xml:space="preserve">Программа профилактики </w:t>
      </w:r>
      <w:r>
        <w:rPr>
          <w:rFonts w:ascii="PT Astra Serif" w:hAnsi="PT Astra Serif" w:cs="PT Astra Serif" w:eastAsia="PT Astra Serif"/>
          <w:b/>
          <w:bCs/>
          <w:sz w:val="26"/>
          <w:szCs w:val="26"/>
          <w:highlight w:val="white"/>
          <w:lang w:eastAsia="ru-RU"/>
        </w:rPr>
        <w:t xml:space="preserve">рисков причинения вреда (ущерба) </w:t>
      </w:r>
      <w:r>
        <w:rPr>
          <w:highlight w:val="white"/>
        </w:rPr>
      </w:r>
      <w:r/>
    </w:p>
    <w:p>
      <w:pPr>
        <w:ind w:firstLine="54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/>
          <w:bCs/>
          <w:sz w:val="26"/>
          <w:szCs w:val="26"/>
          <w:highlight w:val="white"/>
          <w:lang w:eastAsia="ru-RU"/>
        </w:rPr>
        <w:t xml:space="preserve">охраняемым законом ценностям </w:t>
      </w:r>
      <w:r>
        <w:rPr>
          <w:rFonts w:ascii="PT Astra Serif" w:hAnsi="PT Astra Serif" w:cs="PT Astra Serif" w:eastAsia="PT Astra Serif"/>
          <w:b/>
          <w:sz w:val="26"/>
          <w:szCs w:val="26"/>
          <w:highlight w:val="white"/>
          <w:lang w:eastAsia="ru-RU"/>
        </w:rPr>
        <w:t xml:space="preserve">на 2023 год</w:t>
      </w:r>
      <w:r>
        <w:rPr>
          <w:rFonts w:ascii="PT Astra Serif" w:hAnsi="PT Astra Serif" w:cs="PT Astra Serif" w:eastAsia="PT Astra Serif"/>
          <w:b/>
          <w:bCs/>
          <w:sz w:val="26"/>
          <w:szCs w:val="26"/>
          <w:highlight w:val="white"/>
        </w:rPr>
        <w:t xml:space="preserve"> при осуществлении федерального государственного контроля (надзора) в лесах, </w:t>
      </w:r>
      <w:r>
        <w:rPr>
          <w:highlight w:val="white"/>
        </w:rPr>
      </w:r>
      <w:r/>
    </w:p>
    <w:p>
      <w:pPr>
        <w:ind w:firstLine="54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/>
          <w:bCs/>
          <w:sz w:val="26"/>
          <w:szCs w:val="26"/>
          <w:highlight w:val="white"/>
        </w:rPr>
        <w:t xml:space="preserve">расположенных на землях лесного фонда </w:t>
      </w:r>
      <w:r>
        <w:rPr>
          <w:highlight w:val="white"/>
        </w:rPr>
      </w:r>
      <w:r/>
    </w:p>
    <w:p>
      <w:pPr>
        <w:ind w:firstLine="54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/>
          <w:bCs/>
          <w:sz w:val="26"/>
          <w:szCs w:val="26"/>
          <w:highlight w:val="white"/>
        </w:rPr>
        <w:t xml:space="preserve">на территории Томской области</w:t>
      </w:r>
      <w:r>
        <w:rPr>
          <w:highlight w:val="white"/>
        </w:rPr>
      </w:r>
      <w:r/>
    </w:p>
    <w:p>
      <w:pPr>
        <w:ind w:firstLine="54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/>
          <w:bCs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pStyle w:val="833"/>
        <w:numPr>
          <w:ilvl w:val="0"/>
          <w:numId w:val="7"/>
        </w:numPr>
        <w:ind w:left="0" w:firstLine="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Анализ текущего состояния осуществления вида контроля,</w:t>
      </w:r>
      <w:r>
        <w:rPr>
          <w:highlight w:val="white"/>
        </w:rPr>
      </w:r>
      <w:r/>
    </w:p>
    <w:p>
      <w:pPr>
        <w:pStyle w:val="833"/>
        <w:ind w:left="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описание текущего развития профилактической деятельности </w:t>
      </w:r>
      <w:r>
        <w:rPr>
          <w:highlight w:val="white"/>
        </w:rPr>
      </w:r>
      <w:r/>
    </w:p>
    <w:p>
      <w:pPr>
        <w:pStyle w:val="833"/>
        <w:ind w:left="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контрольного (надзорного) органа, характеристика проблем, </w:t>
      </w:r>
      <w:r>
        <w:rPr>
          <w:highlight w:val="white"/>
        </w:rPr>
      </w:r>
      <w:r/>
    </w:p>
    <w:p>
      <w:pPr>
        <w:pStyle w:val="833"/>
        <w:ind w:left="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на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решение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 которых направлена программа профилактики</w:t>
      </w:r>
      <w:r>
        <w:rPr>
          <w:highlight w:val="white"/>
        </w:rPr>
      </w:r>
      <w:r/>
    </w:p>
    <w:p>
      <w:pPr>
        <w:ind w:firstLine="54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Департамент лесного хозяйства Томской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области (далее – Департамент)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является исполнительным органом государственной власти Томской области, входящим </w:t>
        <w:br/>
        <w:t xml:space="preserve">в систему исполнительных органов государственной власти Томской области </w:t>
        <w:br/>
        <w:t xml:space="preserve">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осуществляет на землях лесного фонда федеральный государственный лесной контроль (надзор)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 на основании Постановления Губернатора Томской области </w:t>
        <w:br/>
        <w:t xml:space="preserve">от 18.10.2012 N 128 «Об утверждении Положения о Департаменте лесного хозяйства Томской области»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Департамент осуществляет переданные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полномочия Российской Федерации</w:t>
        <w:br/>
        <w:t xml:space="preserve">в области лесных отношений в части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осуществления федерального государственного лесного контроля (надзора)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(далее – государственный лесной контроль) </w:t>
        <w:br/>
        <w:t xml:space="preserve">в соответствии с Положением о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федеральном государственном лесном контроле (надзоре), утвержденным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постановлением Правительства Российской Федерации </w:t>
        <w:br/>
        <w:t xml:space="preserve">от 30.06.2021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№ 1098 «О федеральном государственном лесном контроле (надзоре)».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Профилактическая деятельность Департамента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направлена на решение проблем </w:t>
        <w:br/>
        <w:t xml:space="preserve">в рамках осуществления государственного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лесного контроля, на соблюдение юридическими лицами,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индивидуальными предпринимателями и гражданами требований,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установленных Лесным кодексом Российской Федерации, другими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федеральными законами и принимаемыми в соответствии с ними иными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нормативными правовыми актами Российской Федерации, законами и иными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нормативными правовыми актами субъектов Российской Федерации в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области использования, охраны, защиты, воспроизводства лесов 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лесоразведения (в том числе в области пожарной безопасности в лесах), в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области семеноводства в отношении семян лесных растений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Программа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профилактики рисков причинения вреда (ущерба) охраняемым законом ценностям на 2023 год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(далее – Программа)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разработана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Департаментом </w:t>
        <w:br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в целях реализации положений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статьи 44 Федерального закона от 31.07.2020</w:t>
        <w:br/>
        <w:t xml:space="preserve">№ 248-ФЗ «О государственном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контроле (надзоре) и муниципальном контроле </w:t>
        <w:br/>
        <w:t xml:space="preserve">в Российской Федерации»</w:t>
      </w:r>
      <w:r>
        <w:rPr>
          <w:rFonts w:ascii="PT Astra Serif" w:hAnsi="PT Astra Serif" w:cs="PT Astra Serif" w:eastAsia="PT Astra Serif"/>
          <w:color w:val="4F575C"/>
          <w:sz w:val="26"/>
          <w:szCs w:val="26"/>
          <w:highlight w:val="white"/>
          <w:shd w:val="clear" w:color="auto" w:fill="ffffff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(далее – Федеральный закон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№ 248-ФЗ), в соответствии </w:t>
        <w:br/>
        <w:t xml:space="preserve">с постановлением Правительства Российской Федерации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от 25.06.2021 № 990 </w:t>
        <w:br/>
        <w:t xml:space="preserve">«Об утверждении Правил разработки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и утверждения контрольными (надзорными) органами программы профилактики рисков причинения вреда (ущерба) охраняемым законом ценностям»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(далее – Постановление Правительства № 990).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Настоящая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Программа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направлена на достижение общественно значимых результатов, связанных с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минимизацией риска причинения вреда (ущерба) охраняемым законом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ценностям, вызванного нарушениями обязательных требований лесного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законодательства. Программа 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</w:rPr>
        <w:t xml:space="preserve">разработана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в целях стимулирования добросовестного соблюдения обязательных требований всеми контролируемыми лицами</w:t>
      </w:r>
      <w:bookmarkStart w:id="2" w:name="dst100486"/>
      <w:r>
        <w:rPr>
          <w:rFonts w:ascii="PT Astra Serif" w:hAnsi="PT Astra Serif" w:cs="PT Astra Serif" w:eastAsia="PT Astra Serif"/>
          <w:sz w:val="26"/>
          <w:highlight w:val="white"/>
        </w:rPr>
      </w:r>
      <w:bookmarkEnd w:id="2"/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, создания условий для доведения обязательных требований до контролируемых лиц, повышение информированности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о способах их соблюдения, </w:t>
      </w:r>
      <w:bookmarkStart w:id="3" w:name="dst100485"/>
      <w:r>
        <w:rPr>
          <w:rFonts w:ascii="PT Astra Serif" w:hAnsi="PT Astra Serif" w:cs="PT Astra Serif" w:eastAsia="PT Astra Serif"/>
          <w:sz w:val="26"/>
          <w:highlight w:val="white"/>
        </w:rPr>
      </w:r>
      <w:bookmarkEnd w:id="3"/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а также устранения условий, причин </w:t>
        <w:br/>
        <w:t xml:space="preserve">и факторов, способных привести к нарушениям обязательных требований </w:t>
        <w:br/>
        <w:t xml:space="preserve">и (или) причинению вреда (ущерба) охраняемым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законом ценностям, соблюдение которых оценивается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Департаментом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и его подведомственным учреждением </w:t>
        <w:br/>
        <w:t xml:space="preserve">ОГКУ «Томсклес»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при осуществлении федерального государственного лесного надзора (контроля) в лесах, расположенных на землях лесного фонда на территории Томской области, устранения причин, факторов и условий, способствующих нарушению таких обязательных требований.</w:t>
      </w:r>
      <w:r>
        <w:rPr>
          <w:highlight w:val="white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PT Astra Serif" w:hAnsi="PT Astra Serif" w:cs="PT Astra Serif" w:eastAsia="PT Astra Serif"/>
          <w:color w:val="000000"/>
          <w:highlight w:val="white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ab/>
        <w:t xml:space="preserve">С целью профилактики нарушений в 2022 году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Департаментом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 осуществлялось информирование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контролируемых лиц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 по вопрос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ам соблюдения обязательных требований, проводились семинары и принимались участия в конференциях. Также Департаментом проводится разъяснительная работа с использованием средств массовой информации. На официальном сайте Департамента размещается информация </w:t>
        <w:br/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с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 описанием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наиболее часто встречающи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хся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случа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ев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 нарушений обязательных требований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 и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рекомендациями в отношении мер, которые должны приниматься юридическими лицами, индивидуальными предпринимателями в целях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eastAsia="ru-RU"/>
        </w:rPr>
        <w:t xml:space="preserve">недопущения таких нарушений.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  <w:outlineLvl w:val="0"/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В соответствии с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требованиями части 3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стать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и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61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Федерального закона</w:t>
        <w:br/>
        <w:t xml:space="preserve">от 31.07.2020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№ 248-ФЗ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«О государственном контроле (надзоре) и муниципальном контроле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в Российской Федерации»,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подпункта «а» пункта 14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постановлени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я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Правительства Р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оссийской Федерации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от 31.12.2020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2428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 порядке формирования плана проведения плановых контрольных (надзорных) мероприятий на очередной календарный год, его согласования с органами прокуратуры, включения в него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  <w:br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и исключения из него контрольных (надзорных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) мероприятий в течение года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»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  <w:t xml:space="preserve">пункт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ов 1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, 5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остановлени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я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Правительства Р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оссийской Федерации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от 10.03.2022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336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Об особенностях организации и осуществления государственного контроля (на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дзора), муниципального контроля»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Департаментом 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ОГКУ «Томсклес» </w:t>
        <w:br/>
        <w:t xml:space="preserve">из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ежегодного плана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проведения плановых контрольных (надзорных) мероприятий </w:t>
        <w:br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на 202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2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год были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исключены проверки.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В 1 квартале 2022 года была проведена 1 плановая проверка по результатам которой нарушений выявлено не было.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Эксперты и экспертные организации к участию в мероприятиях по контролю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  <w:t xml:space="preserve">не привлекались.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Случаев причинения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безопасности государства,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  <w:t xml:space="preserve">а также случаев возникновения чрезвычайных ситуаций природного и техногенного характера не зафиксировано.</w:t>
      </w:r>
      <w:r>
        <w:rPr>
          <w:highlight w:val="white"/>
        </w:rPr>
      </w:r>
      <w:r/>
    </w:p>
    <w:p>
      <w:pPr>
        <w:ind w:firstLine="0"/>
        <w:jc w:val="both"/>
        <w:spacing w:after="0" w:afterAutospacing="0" w:line="240" w:lineRule="auto"/>
        <w:rPr>
          <w:rFonts w:ascii="PT Astra Serif" w:hAnsi="PT Astra Serif" w:cs="PT Astra Serif" w:eastAsia="PT Astra Serif"/>
          <w:highlight w:val="white"/>
        </w:rPr>
        <w:suppressLineNumbers w:val="0"/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ab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В 2022 году проведены мероприятия по профилактике нарушений требований лесного законодательства.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На территории Томской области проводятся следующие профилактические мероприятия: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устанавливаются противопожарные аншлаги, проводятся беседы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с лесозаготовителями и гражданами, раздаются листовки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 </w:t>
        <w:br/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с противопожарной тематикой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, В ходе реализации и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нформационн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ой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 кампани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и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население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 оперативно информир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уется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о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лесопожарной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 обстановке, принимаемых мерах по тушению пожаров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с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населени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ем проводится разъяснительная работа </w:t>
        <w:br/>
        <w:t xml:space="preserve">по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вопрос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у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 необходимости соблюдения правил пожарной безопасности в лесах. </w:t>
      </w:r>
      <w:r>
        <w:rPr>
          <w:highlight w:val="white"/>
        </w:rPr>
      </w:r>
      <w:r/>
    </w:p>
    <w:p>
      <w:pPr>
        <w:ind w:firstLine="0"/>
        <w:jc w:val="both"/>
        <w:spacing w:after="0" w:afterAutospacing="0" w:line="240" w:lineRule="auto"/>
        <w:rPr>
          <w:rFonts w:ascii="PT Astra Serif" w:hAnsi="PT Astra Serif" w:cs="PT Astra Serif" w:eastAsia="PT Astra Serif"/>
          <w:highlight w:val="white"/>
        </w:rPr>
        <w:suppressLineNumbers w:val="0"/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ab/>
        <w:t xml:space="preserve">В целях объективного и всестороннего информирования жителей Департамент использует все форматы средств массовой информации: телевизионные и радиоэфиры, публикации в печатных изданиях, новостных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интернет-порталах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 и социальных сетях. </w:t>
      </w:r>
      <w:r>
        <w:rPr>
          <w:highlight w:val="white"/>
        </w:rPr>
      </w:r>
      <w:r/>
    </w:p>
    <w:p>
      <w:pPr>
        <w:ind w:firstLine="0"/>
        <w:jc w:val="both"/>
        <w:spacing w:after="0" w:afterAutospacing="0" w:line="240" w:lineRule="auto"/>
        <w:rPr>
          <w:rFonts w:ascii="PT Astra Serif" w:hAnsi="PT Astra Serif" w:cs="PT Astra Serif" w:eastAsia="PT Astra Serif"/>
          <w:highlight w:val="white"/>
        </w:rPr>
        <w:suppressLineNumbers w:val="0"/>
      </w:pPr>
      <w:r>
        <w:rPr>
          <w:rFonts w:ascii="PT Astra Serif" w:hAnsi="PT Astra Serif" w:cs="PT Astra Serif" w:eastAsia="PT Astra Serif"/>
          <w:sz w:val="26"/>
          <w:szCs w:val="28"/>
          <w:highlight w:val="white"/>
          <w:lang w:eastAsia="en-US"/>
        </w:rPr>
        <w:tab/>
        <w:t xml:space="preserve">В региональных средствах массовой информации сделано 764 публикации</w:t>
        <w:br/>
        <w:t xml:space="preserve">(46 </w:t>
      </w:r>
      <w:r>
        <w:rPr>
          <w:rFonts w:ascii="PT Astra Serif" w:hAnsi="PT Astra Serif" w:cs="PT Astra Serif" w:eastAsia="PT Astra Serif"/>
          <w:sz w:val="26"/>
          <w:szCs w:val="28"/>
          <w:highlight w:val="white"/>
          <w:lang w:eastAsia="en-US"/>
        </w:rPr>
        <w:t xml:space="preserve">тв</w:t>
      </w:r>
      <w:r>
        <w:rPr>
          <w:rFonts w:ascii="PT Astra Serif" w:hAnsi="PT Astra Serif" w:cs="PT Astra Serif" w:eastAsia="PT Astra Serif"/>
          <w:sz w:val="26"/>
          <w:szCs w:val="28"/>
          <w:highlight w:val="white"/>
          <w:lang w:eastAsia="en-US"/>
        </w:rPr>
        <w:t xml:space="preserve">-сюжетов, 458 радиосообщений, 260 публикаций в печатных изданиях</w:t>
        <w:br/>
        <w:t xml:space="preserve">и </w:t>
      </w:r>
      <w:r>
        <w:rPr>
          <w:rFonts w:ascii="PT Astra Serif" w:hAnsi="PT Astra Serif" w:cs="PT Astra Serif" w:eastAsia="PT Astra Serif"/>
          <w:sz w:val="26"/>
          <w:szCs w:val="28"/>
          <w:highlight w:val="white"/>
          <w:lang w:eastAsia="en-US"/>
        </w:rPr>
        <w:t xml:space="preserve">интернет-порталах</w:t>
      </w:r>
      <w:r>
        <w:rPr>
          <w:rFonts w:ascii="PT Astra Serif" w:hAnsi="PT Astra Serif" w:cs="PT Astra Serif" w:eastAsia="PT Astra Serif"/>
          <w:sz w:val="26"/>
          <w:szCs w:val="28"/>
          <w:highlight w:val="white"/>
          <w:lang w:eastAsia="en-US"/>
        </w:rPr>
        <w:t xml:space="preserve">) информационных сообщений </w:t>
      </w:r>
      <w:r>
        <w:rPr>
          <w:rFonts w:ascii="PT Astra Serif" w:hAnsi="PT Astra Serif" w:cs="PT Astra Serif" w:eastAsia="PT Astra Serif"/>
          <w:sz w:val="26"/>
          <w:szCs w:val="28"/>
          <w:highlight w:val="white"/>
          <w:lang w:eastAsia="en-US"/>
        </w:rPr>
        <w:t xml:space="preserve">о необходимости соблюдения правил пожарной безопасности в лесах</w:t>
      </w:r>
      <w:r>
        <w:rPr>
          <w:rFonts w:ascii="PT Astra Serif" w:hAnsi="PT Astra Serif" w:cs="PT Astra Serif" w:eastAsia="PT Astra Serif"/>
          <w:sz w:val="26"/>
          <w:szCs w:val="28"/>
          <w:highlight w:val="white"/>
          <w:lang w:eastAsia="en-US"/>
        </w:rPr>
        <w:t xml:space="preserve"> и ответственности за их нарушение. </w:t>
        <w:br/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В телевизионных эфирах региональных телерадиокомпаний </w:t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организована трансляция противопожарных роликов</w:t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. </w:t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В эфире</w:t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8 радиостанций с охватом аудитории более 200000 человек </w:t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транслируется противопожарный </w:t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аудиоролик</w:t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. В</w:t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 черте города и основных выездах в районы Томской области размещены противопожарные баннеры. </w:t>
        <w:br/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В </w:t>
      </w:r>
      <w:r>
        <w:rPr>
          <w:rFonts w:ascii="PT Astra Serif" w:hAnsi="PT Astra Serif" w:cs="PT Astra Serif" w:eastAsia="PT Astra Serif"/>
          <w:sz w:val="26"/>
          <w:szCs w:val="28"/>
          <w:highlight w:val="white"/>
        </w:rPr>
        <w:t xml:space="preserve">лесничествах области ведется установка противопожарных аншлагов. </w:t>
        <w:br/>
        <w:t xml:space="preserve">В настоящее время размещено 359 аншлагов.</w:t>
      </w:r>
      <w:r>
        <w:rPr>
          <w:highlight w:val="white"/>
        </w:rPr>
      </w:r>
      <w:r/>
    </w:p>
    <w:p>
      <w:pPr>
        <w:ind w:firstLine="0"/>
        <w:jc w:val="both"/>
        <w:spacing w:after="0" w:afterAutospacing="0" w:line="240" w:lineRule="auto"/>
        <w:rPr>
          <w:rFonts w:ascii="PT Astra Serif" w:hAnsi="PT Astra Serif" w:cs="PT Astra Serif" w:eastAsia="PT Astra Serif"/>
          <w:highlight w:val="white"/>
        </w:rPr>
        <w:suppressLineNumbers w:val="0"/>
      </w:pPr>
      <w:r>
        <w:rPr>
          <w:rFonts w:ascii="PT Astra Serif" w:hAnsi="PT Astra Serif" w:cs="PT Astra Serif" w:eastAsia="PT Astra Serif"/>
          <w:sz w:val="26"/>
          <w:szCs w:val="28"/>
          <w:highlight w:val="white"/>
          <w:lang w:eastAsia="en-US"/>
        </w:rPr>
        <w:tab/>
      </w:r>
      <w:r>
        <w:rPr>
          <w:rFonts w:ascii="PT Astra Serif" w:hAnsi="PT Astra Serif" w:cs="PT Astra Serif" w:eastAsia="PT Astra Serif"/>
          <w:sz w:val="26"/>
          <w:szCs w:val="28"/>
          <w:highlight w:val="white"/>
          <w:lang w:val="en-US" w:eastAsia="en-US"/>
        </w:rPr>
        <w:t xml:space="preserve">C</w:t>
      </w:r>
      <w:r>
        <w:rPr>
          <w:rFonts w:ascii="PT Astra Serif" w:hAnsi="PT Astra Serif" w:cs="PT Astra Serif" w:eastAsia="PT Astra Serif"/>
          <w:sz w:val="26"/>
          <w:szCs w:val="28"/>
          <w:highlight w:val="white"/>
          <w:lang w:eastAsia="en-US"/>
        </w:rPr>
        <w:t xml:space="preserve"> целью усиления противопожа</w:t>
      </w:r>
      <w:r>
        <w:rPr>
          <w:rFonts w:ascii="PT Astra Serif" w:hAnsi="PT Astra Serif" w:cs="PT Astra Serif" w:eastAsia="PT Astra Serif"/>
          <w:sz w:val="26"/>
          <w:szCs w:val="28"/>
          <w:highlight w:val="white"/>
          <w:lang w:eastAsia="en-US"/>
        </w:rPr>
        <w:t xml:space="preserve">р</w:t>
      </w:r>
      <w:r>
        <w:rPr>
          <w:rFonts w:ascii="PT Astra Serif" w:hAnsi="PT Astra Serif" w:cs="PT Astra Serif" w:eastAsia="PT Astra Serif"/>
          <w:sz w:val="26"/>
          <w:szCs w:val="28"/>
          <w:highlight w:val="white"/>
          <w:lang w:eastAsia="en-US"/>
        </w:rPr>
        <w:t xml:space="preserve">ной пропаганды в районах Томской области сотрудниками лесничеств и школьных лесничеств среди местного населения проведено 72 открытых урока, 30 просветительских акций, а также 128 профилактических бесед </w:t>
        <w:br/>
        <w:t xml:space="preserve">о необходимости соблюдения лесного законодательства.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С целью привлечения виновных лиц к ответственности за истекший период 2022 года направлены в правоохранительные органы 202 материала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о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лесонарушениях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, </w:t>
        <w:br/>
        <w:t xml:space="preserve">по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результатам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рассмотрения которых в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озбуждено 189 уголовных дел.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По итогам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9 месяцев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2022 года в Томской области за совершение незаконной рубки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и повреждение лесных насаждений привлечено к уголовной ответственности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43 лица.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За нарушение требований лесного законодательства должностными лицами Департамента в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истекшем периоде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2022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года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 в административном порядке привлечено </w:t>
        <w:br/>
        <w:t xml:space="preserve">к ответственности 170 лиц.</w:t>
      </w:r>
      <w:r>
        <w:rPr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val="en-US" w:eastAsia="ru-RU"/>
        </w:rPr>
        <w:t xml:space="preserve">II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. Цели и задачи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реализации программы профилактики</w:t>
      </w:r>
      <w:r>
        <w:rPr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Мероприятия Программы представляют собой комплекс мер, направленных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  <w:t xml:space="preserve">на достижение целей и решение основных задач Программы.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Целями проведения профилактических мероприятий являются: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стимулирование добросовестного соблюдения обязательных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требований лесного законодательства всеми контролируемыми лицами;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устранение условий, причин и факторов, способных привести к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нарушениям обязательных требований лесного законодательства и (или)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причинению вреда (ущерба) охраняемым законом ценностям;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создание условий для доведения обязательных требований лесного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законодательства до контролируемых лиц, повышение информированности о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способах их соблюдения.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повышение прозрачности системы федерального государственного контроля (надзора) в целом и контрольно-надзорной деятельности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Департамента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и его подведомственного учреждения ОГКУ «Томсклес»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снижение административных и финансовых издержек, как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Департамента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  <w:t xml:space="preserve">и его подведомственного учреждения ОГКУ «Томсклес»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, так и подконтрольных субъектов по сравнению с ведением контрольно-надзорной деятельности исключительно путем проведения контрольно-надзорных мероприятий;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снижение административной нагрузки на подконтрольные субъекты;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разъяснение подконтрольным субъектам обязательных требований.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Проведение профилактических мероприятий позволит решить следующие задачи: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законное и обоснованное проведение контрольных (надзорных)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мероприятий, совершение контрольных (надзорных) действий, принятие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решений по результатам контрольных (надзорных) мероприятий;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проведение профилактических мероприятий, направленных на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снижение риска причинения вреда (ущерба) и обеспечение стимула к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добросовестному соблюдению обязательных требований лесного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законодательства и минимизацию потенциальной выгоды от нарушений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обязательных требований;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ограничение только теми контрольными (надзорными)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мероприятиями </w:t>
        <w:br/>
        <w:t xml:space="preserve">и контрольными (надзорными) действиями, которые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необходимы для обеспечения соблюдения обязательных требований лесного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законодательства;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недопущение причинения неправомерного вреда (ущерба)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контролируемым лицам, их представителям, либо имуществу, находящемуся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в их владении, пользовании или распоряжении, либо их деловой репутации;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охрана прав и законных интересов, уважение достоинства личности,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деловой репутации контролируемых лиц;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недопустимость злоупотребления правом;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соблюдение охраняемой законом тайны;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открытость и доступность информации об организации 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осуществлении государственного лесного контроля;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- оперативность проведения контрольного (надзорного) мероприятия </w:t>
        <w:br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при осуществлении государственного лесного контроля.</w:t>
      </w:r>
      <w:r>
        <w:rPr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p>
      <w:pPr>
        <w:ind w:firstLine="54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Cs/>
          <w:sz w:val="26"/>
          <w:szCs w:val="26"/>
          <w:highlight w:val="white"/>
          <w:lang w:val="en-US" w:eastAsia="ru-RU"/>
        </w:rPr>
        <w:t xml:space="preserve">III</w:t>
      </w:r>
      <w:r>
        <w:rPr>
          <w:rFonts w:ascii="PT Astra Serif" w:hAnsi="PT Astra Serif" w:cs="PT Astra Serif" w:eastAsia="PT Astra Serif"/>
          <w:bCs/>
          <w:sz w:val="26"/>
          <w:szCs w:val="26"/>
          <w:highlight w:val="white"/>
          <w:lang w:eastAsia="ru-RU"/>
        </w:rPr>
        <w:t xml:space="preserve">. Перечень профилактических мероприятий, </w:t>
      </w:r>
      <w:r>
        <w:rPr>
          <w:highlight w:val="white"/>
        </w:rPr>
      </w:r>
      <w:r/>
    </w:p>
    <w:p>
      <w:pPr>
        <w:ind w:firstLine="54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Cs/>
          <w:sz w:val="26"/>
          <w:szCs w:val="26"/>
          <w:highlight w:val="white"/>
          <w:lang w:eastAsia="ru-RU"/>
        </w:rPr>
        <w:t xml:space="preserve">сроки (периодичность) их проведения</w:t>
      </w:r>
      <w:r>
        <w:rPr>
          <w:highlight w:val="white"/>
        </w:rPr>
      </w:r>
      <w:r/>
    </w:p>
    <w:p>
      <w:pPr>
        <w:ind w:firstLine="540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Cs/>
          <w:sz w:val="26"/>
          <w:szCs w:val="26"/>
          <w:highlight w:val="white"/>
          <w:lang w:eastAsia="ru-RU"/>
        </w:rPr>
      </w:r>
      <w:r>
        <w:rPr>
          <w:highlight w:val="white"/>
        </w:rPr>
      </w:r>
      <w:r/>
    </w:p>
    <w:tbl>
      <w:tblPr>
        <w:tblW w:w="10083" w:type="dxa"/>
        <w:jc w:val="center"/>
        <w:tblInd w:w="-15" w:type="dxa"/>
        <w:tblLayout w:type="fixed"/>
        <w:tblLook w:val="04A0" w:firstRow="1" w:lastRow="0" w:firstColumn="1" w:lastColumn="0" w:noHBand="0" w:noVBand="1"/>
      </w:tblPr>
      <w:tblGrid>
        <w:gridCol w:w="567"/>
        <w:gridCol w:w="4819"/>
        <w:gridCol w:w="2409"/>
        <w:gridCol w:w="2287"/>
      </w:tblGrid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/п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Наименование мероприятия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Срок реализации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Ответственные исполнители</w:t>
            </w:r>
            <w:r>
              <w:rPr>
                <w:highlight w:val="white"/>
              </w:rPr>
            </w:r>
            <w:r/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1.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Информирование юридических лиц</w:t>
              <w:br/>
              <w:t xml:space="preserve">и индивидуальных предпринимателей по вопросам соблюдения обязательных требований, в том числе посредством: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- проведения семинаров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и конференций;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- разъяснительной работы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в средствах массовой информации;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- распространения комментариев</w:t>
              <w:br/>
              <w:t xml:space="preserve">о содержании новых нормативных правовых актов, устанавливающих обязательные требования, внесенных изменениях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в действующие нормативные правовые акты, сроках</w:t>
              <w:br/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и порядке вступления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их в действие; 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- распространения рекомендаций</w:t>
              <w:br/>
              <w:t xml:space="preserve">о проведении необходимых организационных, технических мероприятий, направленных </w:t>
              <w:br/>
              <w:t xml:space="preserve">на внедрение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и обеспечение соблюдения обязательных требований.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Осуществляется посредством размещения сведений, касающихся осуществления государственного контроля (надзора), на официальном сайте Департамента,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в средствах массовой информации, в иных формах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В течение года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государственного лесного и пожарного надзора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(А.С. Зайцев)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ОГКУ «Томсклес»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(Ю.В. Валуев)</w:t>
            </w:r>
            <w:r>
              <w:rPr>
                <w:highlight w:val="white"/>
              </w:rPr>
            </w:r>
            <w:r/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2.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Обобщение правоприменительной практики.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Осуществляется посредством подготовки органами государственного надзора ежегодного доклада </w:t>
              <w:br/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об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осуществлении федерального государственного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лесного контроля (надзора)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на территории Томской области с указанием наиболее часто встречающихся нарушений обязательных требований лесного законодательства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с рекомендациями </w:t>
              <w:br/>
              <w:t xml:space="preserve">в отношении мер, которые должны приниматься юридическими лицами </w:t>
              <w:br/>
              <w:t xml:space="preserve">и индивидуальными предпринимателями в целях недопущения таких нарушений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, который утверждается распоряжением начальника Департамента и ежегодно,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br/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до 1 апреля года, следующего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br/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за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отчетным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размещается</w:t>
              <w:br/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на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официальном сайте Департамента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1 раз в год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государственного лесного и пожарного надзора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(А.С. Зайцев)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ОГКУ «Томсклес»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(Ю.В. Валуев)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</w:r>
            <w:r>
              <w:rPr>
                <w:highlight w:val="white"/>
              </w:rPr>
            </w:r>
            <w:r/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3.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Объявление предостережения.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Объявление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контролируемому лицу предостережения о недопустимости нарушения обязательных требований</w:t>
              <w:br/>
              <w:t xml:space="preserve">с предложением принять меры </w:t>
              <w:br/>
              <w:t xml:space="preserve">по обеспечению соблюдения обязательных требований. </w:t>
            </w:r>
            <w:r>
              <w:rPr>
                <w:highlight w:val="white"/>
              </w:rPr>
            </w:r>
            <w:r/>
          </w:p>
          <w:p>
            <w:pPr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При наличии сведений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</w:t>
              <w:br/>
              <w:t xml:space="preserve">о готовящихся нарушениях обязательных требований </w:t>
              <w:br/>
              <w:t xml:space="preserve">или признаках нарушений обяза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тельных требований</w:t>
              <w:br/>
              <w:t xml:space="preserve">и (или) при отсутствии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государственного лесного и пожарного надзора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(А.С. Зайцев)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ОГКУ «Томсклес»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(Ю.В. Валуев)</w:t>
            </w:r>
            <w:r>
              <w:rPr>
                <w:highlight w:val="white"/>
              </w:rPr>
            </w:r>
            <w:r/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4.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Консультирование по вопросам: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- разъяснени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я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 положений нормативных правовых актов, содержащих обязательные требования, оценка соблюдения которых осуществляется</w:t>
              <w:br/>
              <w:t xml:space="preserve">в рамках государственного контроля (надзора);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- разъяснени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я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 положений нормативных правовых актов,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регламентирующих порядок осуществления государственного контроля (надзора);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-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о 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поряд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ке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 обжалования решений органов государственного надзора, действий (бездействия) государственных лесных инспекторов.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Осуществляется должностными лицами Департамента по телефону,</w:t>
              <w:br/>
              <w:t xml:space="preserve">в письменной форме, на личном приеме либо в ходе проведения профилактического мероприятия, контрольного (надзорного) мероприятия.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4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При поступлении соответствующих обращений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государственного лесного и пожарного надзора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(А.С. Зайцев)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ОГКУ «Томсклес»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(Ю.В. Валуев)</w:t>
            </w:r>
            <w:r>
              <w:rPr>
                <w:highlight w:val="white"/>
              </w:rPr>
            </w:r>
            <w:r/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5.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  <w:outlineLvl w:val="2"/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eastAsia="ru-RU"/>
              </w:rPr>
              <w:t xml:space="preserve">Профилактический визит.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  <w:outlineLvl w:val="2"/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Обязательный профилактический визит проводится в отношении объектов контроля, отнесенных к категории умеренного риска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и в отношении контролируемых лиц, впервые приступающих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к осуществлению использования лесов и (или) лесных участков, части лесных участков.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  <w:outlineLvl w:val="2"/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О проведении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профилактического визита контролируемое лицо уведомляется контролирующим органом не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позднее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чем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за 5 рабочих дней до дня его проведения в письменной форме </w:t>
              <w:br/>
              <w:t xml:space="preserve">на бумажном носителе почтовым отправлением либо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в форме электронного документа, подписанного электронной подписью.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  <w:outlineLvl w:val="2"/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Контролируемое лицо вправе отказаться от проведения обязательного профилактического визита, уведомив об этом государственного лесного инспектора, направившего уведомление о проведении обязательного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профилактического визита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в письменной форме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на бумажном носителе почтовым отправлением либо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в форме электронного документа, подписанного электронной подписью,</w:t>
              <w:br/>
              <w:t xml:space="preserve">не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позднее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чем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за 3 рабочих дня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до дня его проведения.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  <w:outlineLvl w:val="2"/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Срок проведения профилактического визита определяется государственным лесным инспектором самостоятельно</w:t>
              <w:br/>
              <w:t xml:space="preserve">и не может превышать 1 рабочий день.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  <w:outlineLvl w:val="2"/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Профилактический визит проводится государственным лесным инспектором</w:t>
              <w:br/>
              <w:t xml:space="preserve">в форме профилактической беседы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br/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</w:rPr>
              <w:t xml:space="preserve">по месту осуществления деятельности контролируемого лица либо путем использования видео-конференц-связи.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  <w:outlineLvl w:val="2"/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eastAsia="ru-RU"/>
              </w:rPr>
              <w:t xml:space="preserve">В течение года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государственного лесного и пожарного надзора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(А.С. Зайцев)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ОГКУ «Томсклес»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white"/>
                <w:lang w:bidi="hi-IN" w:eastAsia="zh-CN"/>
              </w:rPr>
              <w:t xml:space="preserve">(Ю.В. Валуев)</w:t>
            </w:r>
            <w:r>
              <w:rPr>
                <w:highlight w:val="white"/>
              </w:rPr>
            </w:r>
            <w:r/>
          </w:p>
        </w:tc>
      </w:tr>
    </w:tbl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val="en-US" w:eastAsia="ru-RU"/>
        </w:rPr>
        <w:t xml:space="preserve">I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V. Показатели результативности и эффективности программы профилактики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</w:r>
      <w:r>
        <w:rPr>
          <w:highlight w:val="white"/>
        </w:rPr>
      </w:r>
      <w:r/>
    </w:p>
    <w:p>
      <w:pPr>
        <w:ind w:left="0" w:right="0" w:firstLine="0"/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Основным показателем эффективности и результативности реализации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программы профилактики является общественно значимый результат,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связанный</w:t>
        <w:br/>
        <w:t xml:space="preserve">с минимизацией риска причинения вреда (ущерба) охраняемым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законом ценностям, вызванный нарушениями обязательных требований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лесного законодательства.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  <w:t xml:space="preserve">Программа профилактики призвана обеспечить создание условий для снижения случаев нарушения обязательных требований, снижения количества однотипных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br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и повторяющихся нарушений одним и тем же лесопользователем.</w:t>
      </w:r>
      <w:r>
        <w:rPr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</w:r>
      <w:bookmarkStart w:id="4" w:name="100183"/>
      <w:r>
        <w:rPr>
          <w:rFonts w:ascii="PT Astra Serif" w:hAnsi="PT Astra Serif" w:cs="PT Astra Serif" w:eastAsia="PT Astra Serif"/>
          <w:sz w:val="26"/>
          <w:highlight w:val="white"/>
        </w:rPr>
      </w:r>
      <w:bookmarkEnd w:id="4"/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Показатель эффективности и результативности профилактической работы – улучшение состояния подконтрольной сферы (улучшение состояния охраняемых законом ценностей в сфере осуществления федерального государственного лесного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контроля (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надзора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) </w:t>
      </w:r>
      <w:r>
        <w:rPr>
          <w:rFonts w:ascii="PT Astra Serif" w:hAnsi="PT Astra Serif" w:cs="PT Astra Serif" w:eastAsia="PT Astra Serif"/>
          <w:sz w:val="26"/>
          <w:szCs w:val="26"/>
          <w:highlight w:val="white"/>
          <w:lang w:eastAsia="ru-RU"/>
        </w:rPr>
        <w:t xml:space="preserve">на землях лесного фонда Томской области.</w:t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</w:r>
      <w:r>
        <w:rPr>
          <w:rFonts w:ascii="PT Astra Serif" w:hAnsi="PT Astra Serif" w:cs="PT Astra Serif" w:eastAsia="PT Astra Serif"/>
          <w:sz w:val="26"/>
          <w:highlight w:val="white"/>
        </w:rPr>
        <w:tab/>
        <w:t xml:space="preserve">Основными критериями оценки эффективности и результативности профилактических мероприятий в рамках осуществления федерального государственного лесного контроля (надзора) являются:</w:t>
      </w:r>
      <w:r>
        <w:rPr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  <w:t xml:space="preserve">- результа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тивность деятельности Департамента; </w:t>
      </w:r>
      <w:r>
        <w:rPr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  <w:t xml:space="preserve">- информированность подконтрольных субъектов об обязательных требованиях, </w:t>
        <w:br/>
        <w:t xml:space="preserve">о принятых и готовящихся изменениях в системе обязательных требований, о порядке проведения мероприятий по контролю, правах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 подконтрольных субъектов в ходе мероприятий по контролю; </w:t>
      </w:r>
      <w:r>
        <w:rPr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  <w:t xml:space="preserve">- понятность обязательных требований подконтрольным субъектам;</w:t>
      </w:r>
      <w:r>
        <w:rPr>
          <w:rFonts w:ascii="PT Astra Serif" w:hAnsi="PT Astra Serif" w:cs="PT Astra Serif" w:eastAsia="PT Astra Serif"/>
          <w:sz w:val="26"/>
          <w:highlight w:val="white"/>
        </w:rPr>
      </w:r>
      <w:bookmarkStart w:id="9" w:name="_GoBack"/>
      <w:r>
        <w:rPr>
          <w:rFonts w:ascii="PT Astra Serif" w:hAnsi="PT Astra Serif" w:cs="PT Astra Serif" w:eastAsia="PT Astra Serif"/>
          <w:sz w:val="26"/>
          <w:highlight w:val="white"/>
        </w:rPr>
      </w:r>
      <w:bookmarkEnd w:id="9"/>
      <w:r>
        <w:rPr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- вовлечение подконтрольных субъектов во взаимодействие с Департаментом, </w:t>
        <w:br/>
        <w:t xml:space="preserve">в том числе в рамках проводимых профилактических мероприятий.</w:t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  <w:tab/>
        <w:t xml:space="preserve">Выполненные за отчетный период профилактические мероприятия в рамках проведения федерального государстве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нного лесного контроля (надзора) оцениваются посредством следующих показателей результативности и эффективности: </w:t>
      </w:r>
      <w:r>
        <w:rPr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  <w:t xml:space="preserve">- количество проведенных профилактических мероприятий, ед.; </w:t>
      </w:r>
      <w:r>
        <w:rPr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  <w:t xml:space="preserve">- количество по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дконтрольных субъектов, в отношении которых проведены профилактические мероприятия, ед.;</w:t>
      </w:r>
      <w:r>
        <w:rPr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  <w:t xml:space="preserve">- доля субъектов, в отношении которых проведены профилактические мероприятия (показатель рассчитывается в процентах от общего количества подконтрольных субъектов), 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%. </w:t>
      </w:r>
      <w:r>
        <w:rPr>
          <w:highlight w:val="white"/>
        </w:rPr>
      </w:r>
      <w:r/>
    </w:p>
    <w:p>
      <w:pPr>
        <w:ind w:left="0" w:right="0" w:firstLine="0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  <w:tab/>
        <w:t xml:space="preserve">Информирование органов государственной власти, органов местного самоуправления, юридических лиц, индивидуальных предпринимателей по вопросам соблюдения обязательных требований, оценка соблюдения которых является предметом федерального государственн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ого лесного контроля (надзора) на территории Томской области, в том числе посредством размещения на официальном сайте Департамента руководств, памяток, информационных статей;</w:t>
      </w:r>
      <w:r>
        <w:rPr>
          <w:highlight w:val="white"/>
        </w:rPr>
      </w:r>
      <w:r/>
    </w:p>
    <w:p>
      <w:pPr>
        <w:ind w:left="0" w:right="0" w:firstLine="708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  <w:t xml:space="preserve">Проведени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е семинаров, конференций, разъяснительной работы в средствах массовой информации, горячих линий и подобных мероприятий по информированию юридических лиц и индивидуальных предпринимателей по вопросам соблюдения обязательных требований, оценка соблюдения кот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орых является предметом федерального государственного лесного контроля (надзора). </w:t>
      </w:r>
      <w:r>
        <w:rPr>
          <w:highlight w:val="white"/>
        </w:rPr>
      </w:r>
      <w:r/>
    </w:p>
    <w:p>
      <w:pPr>
        <w:ind w:firstLine="0"/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</w:r>
      <w:r>
        <w:rPr>
          <w:rFonts w:ascii="PT Astra Serif" w:hAnsi="PT Astra Serif" w:cs="PT Astra Serif" w:eastAsia="PT Astra Serif"/>
          <w:sz w:val="26"/>
          <w:highlight w:val="white"/>
        </w:rPr>
        <w:tab/>
        <w:t xml:space="preserve">Мониторинг оценки уровня развития Программы, а также эффективности </w:t>
        <w:br/>
        <w:t xml:space="preserve">и результативности профилактических мероприятий включает в себя оценку достижения показателей эффективности и результативности профилактических мер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оприятий, определенных на очередной календарный период. </w:t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sz w:val="26"/>
          <w:highlight w:val="white"/>
        </w:rPr>
        <w:tab/>
        <w:t xml:space="preserve">Программа реализуется Департаментом, информация о результатах профилактической работы, готовящихся и состоявшихся профилактичес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ких мероприятиях, а также настоящая Программа размещаются на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 </w:t>
      </w:r>
      <w:r>
        <w:rPr>
          <w:rFonts w:ascii="PT Astra Serif" w:hAnsi="PT Astra Serif" w:cs="PT Astra Serif" w:eastAsia="PT Astra Serif"/>
          <w:sz w:val="26"/>
          <w:highlight w:val="white"/>
        </w:rPr>
        <w:t xml:space="preserve">официальном сайте Департамента.</w:t>
      </w:r>
      <w:r>
        <w:rPr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 w:eastAsia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sz w:val="26"/>
          <w:szCs w:val="26"/>
          <w:highlight w:val="white"/>
        </w:rPr>
      </w:r>
      <w:r>
        <w:rPr>
          <w:highlight w:val="white"/>
        </w:rPr>
      </w:r>
      <w:r/>
    </w:p>
    <w:sectPr>
      <w:footnotePr/>
      <w:endnotePr/>
      <w:type w:val="nextPage"/>
      <w:pgSz w:w="11906" w:h="16838" w:orient="portrait"/>
      <w:pgMar w:top="850" w:right="567" w:bottom="567" w:left="1417" w:header="420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8">
    <w:name w:val="Heading 1"/>
    <w:basedOn w:val="822"/>
    <w:next w:val="822"/>
    <w:link w:val="649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49">
    <w:name w:val="Heading 1 Char"/>
    <w:basedOn w:val="823"/>
    <w:link w:val="648"/>
    <w:uiPriority w:val="9"/>
    <w:rPr>
      <w:rFonts w:ascii="Arial" w:hAnsi="Arial" w:cs="Arial" w:eastAsia="Arial"/>
      <w:sz w:val="40"/>
      <w:szCs w:val="40"/>
    </w:rPr>
  </w:style>
  <w:style w:type="paragraph" w:styleId="650">
    <w:name w:val="Heading 2"/>
    <w:basedOn w:val="822"/>
    <w:next w:val="822"/>
    <w:link w:val="65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51">
    <w:name w:val="Heading 2 Char"/>
    <w:basedOn w:val="823"/>
    <w:link w:val="650"/>
    <w:uiPriority w:val="9"/>
    <w:rPr>
      <w:rFonts w:ascii="Arial" w:hAnsi="Arial" w:cs="Arial" w:eastAsia="Arial"/>
      <w:sz w:val="34"/>
    </w:rPr>
  </w:style>
  <w:style w:type="paragraph" w:styleId="652">
    <w:name w:val="Heading 3"/>
    <w:basedOn w:val="822"/>
    <w:next w:val="822"/>
    <w:link w:val="65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53">
    <w:name w:val="Heading 3 Char"/>
    <w:basedOn w:val="823"/>
    <w:link w:val="652"/>
    <w:uiPriority w:val="9"/>
    <w:rPr>
      <w:rFonts w:ascii="Arial" w:hAnsi="Arial" w:cs="Arial" w:eastAsia="Arial"/>
      <w:sz w:val="30"/>
      <w:szCs w:val="30"/>
    </w:rPr>
  </w:style>
  <w:style w:type="paragraph" w:styleId="654">
    <w:name w:val="Heading 4"/>
    <w:basedOn w:val="822"/>
    <w:next w:val="822"/>
    <w:link w:val="65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55">
    <w:name w:val="Heading 4 Char"/>
    <w:basedOn w:val="823"/>
    <w:link w:val="654"/>
    <w:uiPriority w:val="9"/>
    <w:rPr>
      <w:rFonts w:ascii="Arial" w:hAnsi="Arial" w:cs="Arial" w:eastAsia="Arial"/>
      <w:b/>
      <w:bCs/>
      <w:sz w:val="26"/>
      <w:szCs w:val="26"/>
    </w:rPr>
  </w:style>
  <w:style w:type="paragraph" w:styleId="656">
    <w:name w:val="Heading 5"/>
    <w:basedOn w:val="822"/>
    <w:next w:val="822"/>
    <w:link w:val="65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657">
    <w:name w:val="Heading 5 Char"/>
    <w:basedOn w:val="823"/>
    <w:link w:val="656"/>
    <w:uiPriority w:val="9"/>
    <w:rPr>
      <w:rFonts w:ascii="Arial" w:hAnsi="Arial" w:cs="Arial" w:eastAsia="Arial"/>
      <w:b/>
      <w:bCs/>
      <w:sz w:val="24"/>
      <w:szCs w:val="24"/>
    </w:rPr>
  </w:style>
  <w:style w:type="paragraph" w:styleId="658">
    <w:name w:val="Heading 6"/>
    <w:basedOn w:val="822"/>
    <w:next w:val="822"/>
    <w:link w:val="65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59">
    <w:name w:val="Heading 6 Char"/>
    <w:basedOn w:val="823"/>
    <w:link w:val="658"/>
    <w:uiPriority w:val="9"/>
    <w:rPr>
      <w:rFonts w:ascii="Arial" w:hAnsi="Arial" w:cs="Arial" w:eastAsia="Arial"/>
      <w:b/>
      <w:bCs/>
      <w:sz w:val="22"/>
      <w:szCs w:val="22"/>
    </w:rPr>
  </w:style>
  <w:style w:type="paragraph" w:styleId="660">
    <w:name w:val="Heading 7"/>
    <w:basedOn w:val="822"/>
    <w:next w:val="822"/>
    <w:link w:val="6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61">
    <w:name w:val="Heading 7 Char"/>
    <w:basedOn w:val="823"/>
    <w:link w:val="66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62">
    <w:name w:val="Heading 8"/>
    <w:basedOn w:val="822"/>
    <w:next w:val="822"/>
    <w:link w:val="66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63">
    <w:name w:val="Heading 8 Char"/>
    <w:basedOn w:val="823"/>
    <w:link w:val="662"/>
    <w:uiPriority w:val="9"/>
    <w:rPr>
      <w:rFonts w:ascii="Arial" w:hAnsi="Arial" w:cs="Arial" w:eastAsia="Arial"/>
      <w:i/>
      <w:iCs/>
      <w:sz w:val="22"/>
      <w:szCs w:val="22"/>
    </w:rPr>
  </w:style>
  <w:style w:type="paragraph" w:styleId="664">
    <w:name w:val="Heading 9"/>
    <w:basedOn w:val="822"/>
    <w:next w:val="822"/>
    <w:link w:val="6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65">
    <w:name w:val="Heading 9 Char"/>
    <w:basedOn w:val="823"/>
    <w:link w:val="664"/>
    <w:uiPriority w:val="9"/>
    <w:rPr>
      <w:rFonts w:ascii="Arial" w:hAnsi="Arial" w:cs="Arial" w:eastAsia="Arial"/>
      <w:i/>
      <w:iCs/>
      <w:sz w:val="21"/>
      <w:szCs w:val="21"/>
    </w:rPr>
  </w:style>
  <w:style w:type="paragraph" w:styleId="666">
    <w:name w:val="No Spacing"/>
    <w:uiPriority w:val="1"/>
    <w:qFormat/>
    <w:pPr>
      <w:spacing w:before="0" w:after="0" w:line="240" w:lineRule="auto"/>
    </w:pPr>
  </w:style>
  <w:style w:type="paragraph" w:styleId="667">
    <w:name w:val="Title"/>
    <w:basedOn w:val="822"/>
    <w:next w:val="822"/>
    <w:link w:val="66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8">
    <w:name w:val="Title Char"/>
    <w:basedOn w:val="823"/>
    <w:link w:val="667"/>
    <w:uiPriority w:val="10"/>
    <w:rPr>
      <w:sz w:val="48"/>
      <w:szCs w:val="48"/>
    </w:rPr>
  </w:style>
  <w:style w:type="paragraph" w:styleId="669">
    <w:name w:val="Subtitle"/>
    <w:basedOn w:val="822"/>
    <w:next w:val="822"/>
    <w:link w:val="670"/>
    <w:uiPriority w:val="11"/>
    <w:qFormat/>
    <w:pPr>
      <w:spacing w:before="200" w:after="200"/>
    </w:pPr>
    <w:rPr>
      <w:sz w:val="24"/>
      <w:szCs w:val="24"/>
    </w:rPr>
  </w:style>
  <w:style w:type="character" w:styleId="670">
    <w:name w:val="Subtitle Char"/>
    <w:basedOn w:val="823"/>
    <w:link w:val="669"/>
    <w:uiPriority w:val="11"/>
    <w:rPr>
      <w:sz w:val="24"/>
      <w:szCs w:val="24"/>
    </w:rPr>
  </w:style>
  <w:style w:type="paragraph" w:styleId="671">
    <w:name w:val="Quote"/>
    <w:basedOn w:val="822"/>
    <w:next w:val="822"/>
    <w:link w:val="672"/>
    <w:uiPriority w:val="29"/>
    <w:qFormat/>
    <w:pPr>
      <w:ind w:left="720" w:right="720"/>
    </w:pPr>
    <w:rPr>
      <w:i/>
    </w:rPr>
  </w:style>
  <w:style w:type="character" w:styleId="672">
    <w:name w:val="Quote Char"/>
    <w:link w:val="671"/>
    <w:uiPriority w:val="29"/>
    <w:rPr>
      <w:i/>
    </w:rPr>
  </w:style>
  <w:style w:type="paragraph" w:styleId="673">
    <w:name w:val="Intense Quote"/>
    <w:basedOn w:val="822"/>
    <w:next w:val="822"/>
    <w:link w:val="67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4">
    <w:name w:val="Intense Quote Char"/>
    <w:link w:val="673"/>
    <w:uiPriority w:val="30"/>
    <w:rPr>
      <w:i/>
    </w:rPr>
  </w:style>
  <w:style w:type="character" w:styleId="675">
    <w:name w:val="Header Char"/>
    <w:basedOn w:val="823"/>
    <w:link w:val="829"/>
    <w:uiPriority w:val="99"/>
  </w:style>
  <w:style w:type="character" w:styleId="676">
    <w:name w:val="Footer Char"/>
    <w:basedOn w:val="823"/>
    <w:link w:val="831"/>
    <w:uiPriority w:val="99"/>
  </w:style>
  <w:style w:type="paragraph" w:styleId="677">
    <w:name w:val="Caption"/>
    <w:basedOn w:val="822"/>
    <w:next w:val="82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8">
    <w:name w:val="Caption Char"/>
    <w:basedOn w:val="677"/>
    <w:link w:val="831"/>
    <w:uiPriority w:val="99"/>
  </w:style>
  <w:style w:type="table" w:styleId="679">
    <w:name w:val="Table Grid"/>
    <w:basedOn w:val="82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0">
    <w:name w:val="Table Grid Light"/>
    <w:basedOn w:val="8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1">
    <w:name w:val="Plain Table 1"/>
    <w:basedOn w:val="8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2"/>
    <w:basedOn w:val="8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4">
    <w:name w:val="Plain Table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Plain Table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6">
    <w:name w:val="Grid Table 1 Light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4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8">
    <w:name w:val="Grid Table 4 - Accent 1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9">
    <w:name w:val="Grid Table 4 - Accent 2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0">
    <w:name w:val="Grid Table 4 - Accent 3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1">
    <w:name w:val="Grid Table 4 - Accent 4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2">
    <w:name w:val="Grid Table 4 - Accent 5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3">
    <w:name w:val="Grid Table 4 - Accent 6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4">
    <w:name w:val="Grid Table 5 Dark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8">
    <w:name w:val="Grid Table 5 Dark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1">
    <w:name w:val="Grid Table 6 Colorful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2">
    <w:name w:val="Grid Table 6 Colorful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3">
    <w:name w:val="Grid Table 6 Colorful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4">
    <w:name w:val="Grid Table 6 Colorful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5">
    <w:name w:val="Grid Table 6 Colorful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6">
    <w:name w:val="Grid Table 6 Colorful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7">
    <w:name w:val="Grid Table 6 Colorful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8">
    <w:name w:val="Grid Table 7 Colorful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3">
    <w:name w:val="List Table 2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4">
    <w:name w:val="List Table 2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5">
    <w:name w:val="List Table 2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6">
    <w:name w:val="List Table 2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7">
    <w:name w:val="List Table 2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8">
    <w:name w:val="List Table 2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9">
    <w:name w:val="List Table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5 Dark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6 Colorful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1">
    <w:name w:val="List Table 6 Colorful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2">
    <w:name w:val="List Table 6 Colorful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List Table 6 Colorful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4">
    <w:name w:val="List Table 6 Colorful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List Table 6 Colorful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6">
    <w:name w:val="List Table 6 Colorful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7">
    <w:name w:val="List Table 7 Colorful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8">
    <w:name w:val="List Table 7 Colorful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9">
    <w:name w:val="List Table 7 Colorful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0">
    <w:name w:val="List Table 7 Colorful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1">
    <w:name w:val="List Table 7 Colorful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2">
    <w:name w:val="List Table 7 Colorful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3">
    <w:name w:val="List Table 7 Colorful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4">
    <w:name w:val="Lined - Accent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5">
    <w:name w:val="Lined - Accent 1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6">
    <w:name w:val="Lined - Accent 2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7">
    <w:name w:val="Lined - Accent 3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8">
    <w:name w:val="Lined - Accent 4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9">
    <w:name w:val="Lined - Accent 5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0">
    <w:name w:val="Lined - Accent 6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1">
    <w:name w:val="Bordered &amp; Lined - Accent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Bordered &amp; Lined - Accent 1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3">
    <w:name w:val="Bordered &amp; Lined - Accent 2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4">
    <w:name w:val="Bordered &amp; Lined - Accent 3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5">
    <w:name w:val="Bordered &amp; Lined - Accent 4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6">
    <w:name w:val="Bordered &amp; Lined - Accent 5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Bordered &amp; Lined - Accent 6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9">
    <w:name w:val="Bordered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0">
    <w:name w:val="Bordered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1">
    <w:name w:val="Bordered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2">
    <w:name w:val="Bordered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3">
    <w:name w:val="Bordered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4">
    <w:name w:val="Bordered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5">
    <w:name w:val="footnote text"/>
    <w:basedOn w:val="822"/>
    <w:link w:val="806"/>
    <w:uiPriority w:val="99"/>
    <w:semiHidden/>
    <w:unhideWhenUsed/>
    <w:pPr>
      <w:spacing w:after="40" w:line="240" w:lineRule="auto"/>
    </w:pPr>
    <w:rPr>
      <w:sz w:val="18"/>
    </w:rPr>
  </w:style>
  <w:style w:type="character" w:styleId="806">
    <w:name w:val="Footnote Text Char"/>
    <w:link w:val="805"/>
    <w:uiPriority w:val="99"/>
    <w:rPr>
      <w:sz w:val="18"/>
    </w:rPr>
  </w:style>
  <w:style w:type="character" w:styleId="807">
    <w:name w:val="footnote reference"/>
    <w:basedOn w:val="823"/>
    <w:uiPriority w:val="99"/>
    <w:unhideWhenUsed/>
    <w:rPr>
      <w:vertAlign w:val="superscript"/>
    </w:rPr>
  </w:style>
  <w:style w:type="paragraph" w:styleId="808">
    <w:name w:val="endnote text"/>
    <w:basedOn w:val="822"/>
    <w:link w:val="809"/>
    <w:uiPriority w:val="99"/>
    <w:semiHidden/>
    <w:unhideWhenUsed/>
    <w:pPr>
      <w:spacing w:after="0" w:line="240" w:lineRule="auto"/>
    </w:pPr>
    <w:rPr>
      <w:sz w:val="20"/>
    </w:rPr>
  </w:style>
  <w:style w:type="character" w:styleId="809">
    <w:name w:val="Endnote Text Char"/>
    <w:link w:val="808"/>
    <w:uiPriority w:val="99"/>
    <w:rPr>
      <w:sz w:val="20"/>
    </w:rPr>
  </w:style>
  <w:style w:type="character" w:styleId="810">
    <w:name w:val="endnote reference"/>
    <w:basedOn w:val="823"/>
    <w:uiPriority w:val="99"/>
    <w:semiHidden/>
    <w:unhideWhenUsed/>
    <w:rPr>
      <w:vertAlign w:val="superscript"/>
    </w:rPr>
  </w:style>
  <w:style w:type="paragraph" w:styleId="811">
    <w:name w:val="toc 1"/>
    <w:basedOn w:val="822"/>
    <w:next w:val="822"/>
    <w:uiPriority w:val="39"/>
    <w:unhideWhenUsed/>
    <w:pPr>
      <w:ind w:left="0" w:right="0" w:firstLine="0"/>
      <w:spacing w:after="57"/>
    </w:pPr>
  </w:style>
  <w:style w:type="paragraph" w:styleId="812">
    <w:name w:val="toc 2"/>
    <w:basedOn w:val="822"/>
    <w:next w:val="822"/>
    <w:uiPriority w:val="39"/>
    <w:unhideWhenUsed/>
    <w:pPr>
      <w:ind w:left="283" w:right="0" w:firstLine="0"/>
      <w:spacing w:after="57"/>
    </w:pPr>
  </w:style>
  <w:style w:type="paragraph" w:styleId="813">
    <w:name w:val="toc 3"/>
    <w:basedOn w:val="822"/>
    <w:next w:val="822"/>
    <w:uiPriority w:val="39"/>
    <w:unhideWhenUsed/>
    <w:pPr>
      <w:ind w:left="567" w:right="0" w:firstLine="0"/>
      <w:spacing w:after="57"/>
    </w:pPr>
  </w:style>
  <w:style w:type="paragraph" w:styleId="814">
    <w:name w:val="toc 4"/>
    <w:basedOn w:val="822"/>
    <w:next w:val="822"/>
    <w:uiPriority w:val="39"/>
    <w:unhideWhenUsed/>
    <w:pPr>
      <w:ind w:left="850" w:right="0" w:firstLine="0"/>
      <w:spacing w:after="57"/>
    </w:pPr>
  </w:style>
  <w:style w:type="paragraph" w:styleId="815">
    <w:name w:val="toc 5"/>
    <w:basedOn w:val="822"/>
    <w:next w:val="822"/>
    <w:uiPriority w:val="39"/>
    <w:unhideWhenUsed/>
    <w:pPr>
      <w:ind w:left="1134" w:right="0" w:firstLine="0"/>
      <w:spacing w:after="57"/>
    </w:pPr>
  </w:style>
  <w:style w:type="paragraph" w:styleId="816">
    <w:name w:val="toc 6"/>
    <w:basedOn w:val="822"/>
    <w:next w:val="822"/>
    <w:uiPriority w:val="39"/>
    <w:unhideWhenUsed/>
    <w:pPr>
      <w:ind w:left="1417" w:right="0" w:firstLine="0"/>
      <w:spacing w:after="57"/>
    </w:pPr>
  </w:style>
  <w:style w:type="paragraph" w:styleId="817">
    <w:name w:val="toc 7"/>
    <w:basedOn w:val="822"/>
    <w:next w:val="822"/>
    <w:uiPriority w:val="39"/>
    <w:unhideWhenUsed/>
    <w:pPr>
      <w:ind w:left="1701" w:right="0" w:firstLine="0"/>
      <w:spacing w:after="57"/>
    </w:pPr>
  </w:style>
  <w:style w:type="paragraph" w:styleId="818">
    <w:name w:val="toc 8"/>
    <w:basedOn w:val="822"/>
    <w:next w:val="822"/>
    <w:uiPriority w:val="39"/>
    <w:unhideWhenUsed/>
    <w:pPr>
      <w:ind w:left="1984" w:right="0" w:firstLine="0"/>
      <w:spacing w:after="57"/>
    </w:pPr>
  </w:style>
  <w:style w:type="paragraph" w:styleId="819">
    <w:name w:val="toc 9"/>
    <w:basedOn w:val="822"/>
    <w:next w:val="822"/>
    <w:uiPriority w:val="39"/>
    <w:unhideWhenUsed/>
    <w:pPr>
      <w:ind w:left="2268" w:right="0" w:firstLine="0"/>
      <w:spacing w:after="57"/>
    </w:pPr>
  </w:style>
  <w:style w:type="paragraph" w:styleId="820">
    <w:name w:val="TOC Heading"/>
    <w:uiPriority w:val="39"/>
    <w:unhideWhenUsed/>
  </w:style>
  <w:style w:type="paragraph" w:styleId="821">
    <w:name w:val="table of figures"/>
    <w:basedOn w:val="822"/>
    <w:next w:val="822"/>
    <w:uiPriority w:val="99"/>
    <w:unhideWhenUsed/>
    <w:pPr>
      <w:spacing w:after="0" w:afterAutospacing="0"/>
    </w:pPr>
  </w:style>
  <w:style w:type="paragraph" w:styleId="822" w:default="1">
    <w:name w:val="Normal"/>
    <w:qFormat/>
    <w:rPr>
      <w:rFonts w:ascii="Calibri" w:hAnsi="Calibri" w:cs="Times New Roman" w:eastAsia="Calibri"/>
    </w:rPr>
  </w:style>
  <w:style w:type="character" w:styleId="823" w:default="1">
    <w:name w:val="Default Paragraph Font"/>
    <w:uiPriority w:val="1"/>
    <w:unhideWhenUsed/>
  </w:style>
  <w:style w:type="table" w:styleId="8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5" w:default="1">
    <w:name w:val="No List"/>
    <w:uiPriority w:val="99"/>
    <w:semiHidden/>
    <w:unhideWhenUsed/>
  </w:style>
  <w:style w:type="character" w:styleId="826">
    <w:name w:val="Hyperlink"/>
    <w:uiPriority w:val="99"/>
    <w:unhideWhenUsed/>
    <w:rPr>
      <w:color w:val="0000FF"/>
      <w:u w:val="single"/>
    </w:rPr>
  </w:style>
  <w:style w:type="paragraph" w:styleId="827">
    <w:name w:val="Balloon Text"/>
    <w:basedOn w:val="822"/>
    <w:link w:val="82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28" w:customStyle="1">
    <w:name w:val="Текст выноски Знак"/>
    <w:basedOn w:val="823"/>
    <w:link w:val="827"/>
    <w:uiPriority w:val="99"/>
    <w:semiHidden/>
    <w:rPr>
      <w:rFonts w:ascii="Tahoma" w:hAnsi="Tahoma" w:cs="Tahoma" w:eastAsia="Calibri"/>
      <w:sz w:val="16"/>
      <w:szCs w:val="16"/>
    </w:rPr>
  </w:style>
  <w:style w:type="paragraph" w:styleId="829">
    <w:name w:val="Header"/>
    <w:basedOn w:val="822"/>
    <w:link w:val="83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30" w:customStyle="1">
    <w:name w:val="Верхний колонтитул Знак"/>
    <w:basedOn w:val="823"/>
    <w:link w:val="829"/>
    <w:uiPriority w:val="99"/>
    <w:rPr>
      <w:rFonts w:ascii="Calibri" w:hAnsi="Calibri" w:cs="Times New Roman" w:eastAsia="Calibri"/>
    </w:rPr>
  </w:style>
  <w:style w:type="paragraph" w:styleId="831">
    <w:name w:val="Footer"/>
    <w:basedOn w:val="822"/>
    <w:link w:val="83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32" w:customStyle="1">
    <w:name w:val="Нижний колонтитул Знак"/>
    <w:basedOn w:val="823"/>
    <w:link w:val="831"/>
    <w:uiPriority w:val="99"/>
    <w:rPr>
      <w:rFonts w:ascii="Calibri" w:hAnsi="Calibri" w:cs="Times New Roman" w:eastAsia="Calibri"/>
    </w:rPr>
  </w:style>
  <w:style w:type="paragraph" w:styleId="833">
    <w:name w:val="List Paragraph"/>
    <w:basedOn w:val="822"/>
    <w:uiPriority w:val="34"/>
    <w:qFormat/>
    <w:pPr>
      <w:contextualSpacing/>
      <w:ind w:left="720"/>
    </w:pPr>
  </w:style>
  <w:style w:type="character" w:styleId="834" w:customStyle="1">
    <w:name w:val="ConsPlusNormal Знак"/>
    <w:link w:val="835"/>
    <w:rPr>
      <w:rFonts w:ascii="Arial" w:hAnsi="Arial" w:cs="Arial" w:eastAsia="Times New Roman"/>
    </w:rPr>
  </w:style>
  <w:style w:type="paragraph" w:styleId="835" w:customStyle="1">
    <w:name w:val="ConsPlusNormal"/>
    <w:link w:val="834"/>
    <w:pPr>
      <w:spacing w:after="0" w:line="240" w:lineRule="auto"/>
      <w:widowControl w:val="off"/>
    </w:pPr>
    <w:rPr>
      <w:rFonts w:ascii="Arial" w:hAnsi="Arial" w:cs="Arial" w:eastAsia="Times New Roman"/>
    </w:rPr>
  </w:style>
  <w:style w:type="paragraph" w:styleId="836">
    <w:name w:val="Normal (Web)"/>
    <w:basedOn w:val="822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deples.tomsk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62455962-29B8-40A8-A6AB-09CC896C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Р7-Офис/7.0.2.5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Викторовна Чикова</dc:creator>
  <cp:revision>8</cp:revision>
  <dcterms:created xsi:type="dcterms:W3CDTF">2022-01-18T07:50:00Z</dcterms:created>
  <dcterms:modified xsi:type="dcterms:W3CDTF">2022-12-05T02:18:15Z</dcterms:modified>
</cp:coreProperties>
</file>