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PT Astra Serif" w:hAnsi="PT Astra Serif"/>
          <w:b/>
          <w:bCs/>
          <w:sz w:val="28"/>
          <w:szCs w:val="28"/>
          <w:highlight w:val="none"/>
        </w:rPr>
      </w:pPr>
      <w:r>
        <w:rPr>
          <w:rFonts w:ascii="PT Astra Serif" w:hAnsi="PT Astra Serif"/>
          <w:b/>
          <w:sz w:val="28"/>
          <w:szCs w:val="28"/>
        </w:rPr>
        <w:t xml:space="preserve">Доклад комитета лесного контроля</w:t>
      </w:r>
      <w:r>
        <w:rPr>
          <w:rFonts w:ascii="PT Astra Serif" w:hAnsi="PT Astra Serif"/>
          <w:b/>
          <w:sz w:val="28"/>
          <w:szCs w:val="28"/>
        </w:rPr>
      </w:r>
      <w:r/>
    </w:p>
    <w:p>
      <w:pPr>
        <w:jc w:val="center"/>
        <w:spacing w:after="0" w:line="240" w:lineRule="auto"/>
        <w:rPr>
          <w:rFonts w:ascii="PT Astra Serif" w:hAnsi="PT Astra Serif"/>
          <w:b/>
          <w:bCs/>
          <w:sz w:val="28"/>
          <w:szCs w:val="28"/>
          <w:highlight w:val="none"/>
        </w:rPr>
      </w:pPr>
      <w:r>
        <w:rPr>
          <w:rFonts w:ascii="PT Astra Serif" w:hAnsi="PT Astra Serif"/>
          <w:b/>
          <w:sz w:val="28"/>
          <w:szCs w:val="28"/>
          <w:highlight w:val="none"/>
        </w:rPr>
      </w:r>
      <w:r>
        <w:rPr>
          <w:rFonts w:ascii="PT Astra Serif" w:hAnsi="PT Astra Serif"/>
          <w:b/>
          <w:sz w:val="28"/>
          <w:szCs w:val="28"/>
          <w:highlight w:val="none"/>
        </w:rPr>
      </w:r>
    </w:p>
    <w:p>
      <w:pPr>
        <w:ind w:firstLine="709"/>
        <w:spacing w:after="0" w:line="240" w:lineRule="auto"/>
      </w:pPr>
      <w:r>
        <w:rPr>
          <w:rFonts w:ascii="PT Astra Serif" w:hAnsi="PT Astra Serif" w:cs="Times New Roman"/>
          <w:sz w:val="28"/>
          <w:szCs w:val="28"/>
        </w:rPr>
        <w:t xml:space="preserve">На территории Томской области федеральный государственный лесной контроль (надзор) осуществляется: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 w:cs="Times New Roman"/>
          <w:sz w:val="28"/>
          <w:szCs w:val="28"/>
        </w:rPr>
        <w:t xml:space="preserve">- Департаментом лесного хозяйства Томской области, а также подведомственным Департаменту лесного хозяйства Томской области учреждением Областным государствен</w:t>
      </w:r>
      <w:r>
        <w:rPr>
          <w:rFonts w:ascii="PT Astra Serif" w:hAnsi="PT Astra Serif" w:cs="Times New Roman"/>
          <w:sz w:val="28"/>
          <w:szCs w:val="28"/>
        </w:rPr>
        <w:t xml:space="preserve">ным казенным учреждением «Томское управление лесами».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 w:cs="Times New Roman"/>
          <w:sz w:val="28"/>
          <w:szCs w:val="28"/>
        </w:rPr>
        <w:t xml:space="preserve">Федеральный государственный лесной контроль (надзор) данными органами контроля осуществляется</w:t>
      </w:r>
      <w:r>
        <w:rPr>
          <w:rFonts w:ascii="PT Astra Serif" w:hAnsi="PT Astra Serif" w:cs="Times New Roman"/>
          <w:sz w:val="28"/>
          <w:szCs w:val="28"/>
        </w:rPr>
        <w:br/>
        <w:t xml:space="preserve">в соответствии с нормами Федерального закона от 31.07.2020 № 248-ФЗ «О государственном контроле (надзоре)</w:t>
      </w:r>
      <w:r>
        <w:rPr>
          <w:rFonts w:ascii="PT Astra Serif" w:hAnsi="PT Astra Serif" w:cs="Times New Roman"/>
          <w:sz w:val="28"/>
          <w:szCs w:val="28"/>
        </w:rPr>
        <w:br/>
        <w:t xml:space="preserve">и </w:t>
      </w:r>
      <w:r>
        <w:rPr>
          <w:rFonts w:ascii="PT Astra Serif" w:hAnsi="PT Astra Serif" w:cs="Times New Roman"/>
          <w:sz w:val="28"/>
          <w:szCs w:val="28"/>
        </w:rPr>
        <w:t xml:space="preserve">муниципальном контроле в Российской Федерации», а также в соответствии с Положением о федеральном государственном лесном контроле (надзоре), утвержденном постановлением Правительства Российской Федерации </w:t>
      </w:r>
      <w:r>
        <w:rPr>
          <w:rFonts w:ascii="PT Astra Serif" w:hAnsi="PT Astra Serif" w:cs="Times New Roman"/>
          <w:sz w:val="28"/>
          <w:szCs w:val="28"/>
        </w:rPr>
        <w:br/>
        <w:t xml:space="preserve">от 30.06.2021 № 1098.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 w:cs="Times New Roman"/>
          <w:sz w:val="28"/>
          <w:szCs w:val="28"/>
        </w:rPr>
        <w:t xml:space="preserve">Количество лиц, деятельность </w:t>
      </w:r>
      <w:r>
        <w:rPr>
          <w:rFonts w:ascii="PT Astra Serif" w:hAnsi="PT Astra Serif" w:cs="Times New Roman"/>
          <w:sz w:val="28"/>
          <w:szCs w:val="28"/>
        </w:rPr>
        <w:t xml:space="preserve">которых является объектом федерального государственного лесного контроля (надзора), составляет более 18 000, из них с категорией умеренного риска </w:t>
      </w:r>
      <w:r>
        <w:rPr>
          <w:rFonts w:ascii="PT Astra Serif" w:hAnsi="PT Astra Serif" w:cs="Times New Roman"/>
          <w:sz w:val="28"/>
          <w:szCs w:val="28"/>
        </w:rPr>
        <w:t xml:space="preserve">62</w:t>
      </w:r>
      <w:r>
        <w:rPr>
          <w:rFonts w:ascii="PT Astra Serif" w:hAnsi="PT Astra Serif" w:cs="Times New Roman"/>
          <w:sz w:val="28"/>
          <w:szCs w:val="28"/>
        </w:rPr>
        <w:t xml:space="preserve">, оставшаяся часть относятся к низкой категории риска, объекты со значительной категорией риска отсутствуют.</w:t>
      </w:r>
      <w:r>
        <w:rPr>
          <w:sz w:val="28"/>
          <w:szCs w:val="28"/>
        </w:rPr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 w:cs="Times New Roman"/>
          <w:sz w:val="28"/>
          <w:szCs w:val="28"/>
        </w:rPr>
        <w:t xml:space="preserve">С учетом введенных на основании постановления Правительства Российской Федерации от 10.03.2022 № 336</w:t>
      </w:r>
      <w:r>
        <w:rPr>
          <w:rFonts w:ascii="PT Astra Serif" w:hAnsi="PT Astra Serif" w:cs="Times New Roman"/>
          <w:sz w:val="28"/>
          <w:szCs w:val="28"/>
        </w:rPr>
        <w:br/>
        <w:t xml:space="preserve">в 2022 году особенностей по проведению контрольных (надзорных) мероприятий, а также с учетом заданного Минэкономразвития России направления по снижению ад</w:t>
      </w:r>
      <w:r>
        <w:rPr>
          <w:rFonts w:ascii="PT Astra Serif" w:hAnsi="PT Astra Serif" w:cs="Times New Roman"/>
          <w:sz w:val="28"/>
          <w:szCs w:val="28"/>
        </w:rPr>
        <w:t xml:space="preserve">министративной нагрузки на хозяйствующие субъекты, Департаментом лесного хозяйства Томской области, ОГКУ «</w:t>
      </w:r>
      <w:r>
        <w:rPr>
          <w:rFonts w:ascii="PT Astra Serif" w:hAnsi="PT Astra Serif" w:cs="Times New Roman"/>
          <w:sz w:val="28"/>
          <w:szCs w:val="28"/>
        </w:rPr>
        <w:t xml:space="preserve">Томсклес</w:t>
      </w:r>
      <w:r>
        <w:rPr>
          <w:rFonts w:ascii="PT Astra Serif" w:hAnsi="PT Astra Serif" w:cs="Times New Roman"/>
          <w:sz w:val="28"/>
          <w:szCs w:val="28"/>
        </w:rPr>
        <w:t xml:space="preserve">» сделан акцент на проведение профилактических мероприятий по соблюдению обязательных требований лесного законодательства со стороны лиц, испо</w:t>
      </w:r>
      <w:r>
        <w:rPr>
          <w:rFonts w:ascii="PT Astra Serif" w:hAnsi="PT Astra Serif" w:cs="Times New Roman"/>
          <w:sz w:val="28"/>
          <w:szCs w:val="28"/>
        </w:rPr>
        <w:t xml:space="preserve">льзующих леса.</w:t>
      </w:r>
      <w:r>
        <w:rPr>
          <w:sz w:val="28"/>
          <w:szCs w:val="28"/>
        </w:rPr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>
        <w:rPr>
          <w:rFonts w:ascii="PT Astra Serif" w:hAnsi="PT Astra Serif" w:cs="Times New Roman"/>
          <w:sz w:val="28"/>
          <w:szCs w:val="28"/>
        </w:rPr>
        <w:t xml:space="preserve">2024 </w:t>
      </w:r>
      <w:r>
        <w:rPr>
          <w:rFonts w:ascii="PT Astra Serif" w:hAnsi="PT Astra Serif" w:cs="Times New Roman"/>
          <w:sz w:val="28"/>
          <w:szCs w:val="28"/>
        </w:rPr>
        <w:t xml:space="preserve">году проведено профилактических мероприятий: (1473 - информирование, 91 - консультирование, </w:t>
        <w:br/>
        <w:t xml:space="preserve">1 - обобщение правоохранительной практики)</w:t>
      </w:r>
      <w:r>
        <w:rPr>
          <w:rFonts w:ascii="PT Astra Serif" w:hAnsi="PT Astra Serif" w:cs="Times New Roman"/>
          <w:sz w:val="28"/>
          <w:szCs w:val="28"/>
        </w:rPr>
        <w:t xml:space="preserve">.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 w:cs="Times New Roman"/>
          <w:sz w:val="28"/>
          <w:szCs w:val="28"/>
        </w:rPr>
        <w:t xml:space="preserve">В связи с установленными ограничениями Департаментом, а также ОГКУ «</w:t>
      </w:r>
      <w:r>
        <w:rPr>
          <w:rFonts w:ascii="PT Astra Serif" w:hAnsi="PT Astra Serif" w:cs="Times New Roman"/>
          <w:sz w:val="28"/>
          <w:szCs w:val="28"/>
        </w:rPr>
        <w:t xml:space="preserve">Томсклес</w:t>
      </w:r>
      <w:r>
        <w:rPr>
          <w:rFonts w:ascii="PT Astra Serif" w:hAnsi="PT Astra Serif" w:cs="Times New Roman"/>
          <w:sz w:val="28"/>
          <w:szCs w:val="28"/>
        </w:rPr>
        <w:t xml:space="preserve">» в соответствии </w:t>
      </w:r>
      <w:r>
        <w:rPr>
          <w:rFonts w:ascii="PT Astra Serif" w:hAnsi="PT Astra Serif" w:cs="Times New Roman"/>
          <w:sz w:val="28"/>
          <w:szCs w:val="28"/>
        </w:rPr>
        <w:t xml:space="preserve">требованиями </w:t>
      </w:r>
      <w:r>
        <w:rPr>
          <w:rFonts w:ascii="PT Astra Serif" w:hAnsi="PT Astra Serif" w:cs="Times New Roman"/>
          <w:sz w:val="28"/>
          <w:szCs w:val="28"/>
        </w:rPr>
        <w:t xml:space="preserve">Федерального закона № 248-ФЗ, </w:t>
      </w:r>
      <w:r>
        <w:rPr>
          <w:rFonts w:ascii="PT Astra Serif" w:hAnsi="PT Astra Serif" w:cs="Times New Roman"/>
          <w:sz w:val="28"/>
          <w:szCs w:val="28"/>
        </w:rPr>
        <w:t xml:space="preserve">в 2023 году </w:t>
      </w:r>
      <w:r>
        <w:rPr>
          <w:rFonts w:ascii="PT Astra Serif" w:hAnsi="PT Astra Serif" w:cs="Times New Roman"/>
          <w:sz w:val="28"/>
          <w:szCs w:val="28"/>
        </w:rPr>
        <w:t xml:space="preserve">согласован</w:t>
      </w:r>
      <w:r>
        <w:rPr>
          <w:rFonts w:ascii="PT Astra Serif" w:hAnsi="PT Astra Serif" w:cs="Times New Roman"/>
          <w:sz w:val="28"/>
          <w:szCs w:val="28"/>
        </w:rPr>
        <w:t xml:space="preserve">а</w:t>
      </w:r>
      <w:r>
        <w:rPr>
          <w:rFonts w:ascii="PT Astra Serif" w:hAnsi="PT Astra Serif" w:cs="Times New Roman"/>
          <w:sz w:val="28"/>
          <w:szCs w:val="28"/>
        </w:rPr>
        <w:t xml:space="preserve"> с органами прокуратуры, </w:t>
      </w:r>
      <w:r>
        <w:rPr>
          <w:rFonts w:ascii="PT Astra Serif" w:hAnsi="PT Astra Serif" w:cs="Times New Roman"/>
          <w:sz w:val="28"/>
          <w:szCs w:val="28"/>
        </w:rPr>
        <w:t xml:space="preserve">и проведена одна внеплановая выездная </w:t>
      </w:r>
      <w:r>
        <w:rPr>
          <w:rFonts w:ascii="PT Astra Serif" w:hAnsi="PT Astra Serif" w:cs="Times New Roman"/>
          <w:sz w:val="28"/>
          <w:szCs w:val="28"/>
        </w:rPr>
        <w:t xml:space="preserve">проверка</w:t>
      </w:r>
      <w:r>
        <w:rPr>
          <w:rFonts w:ascii="PT Astra Serif" w:hAnsi="PT Astra Serif" w:cs="Times New Roman"/>
          <w:sz w:val="28"/>
          <w:szCs w:val="28"/>
        </w:rPr>
        <w:t xml:space="preserve"> по результатам которой внесено предписание об устранении выявленных нарушений, виновное лицо привлечено к административной ответственности в виде административного штрафа</w:t>
      </w:r>
      <w:r>
        <w:rPr>
          <w:rFonts w:ascii="PT Astra Serif" w:hAnsi="PT Astra Serif" w:cs="Times New Roman"/>
          <w:sz w:val="28"/>
          <w:szCs w:val="28"/>
        </w:rPr>
        <w:t xml:space="preserve">. Предписание исполнено, нарушения закона устранены.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 w:cs="Times New Roman"/>
          <w:sz w:val="28"/>
          <w:szCs w:val="28"/>
        </w:rPr>
        <w:t xml:space="preserve">Кроме того, Департаментом и </w:t>
      </w:r>
      <w:r>
        <w:rPr>
          <w:rFonts w:ascii="PT Astra Serif" w:hAnsi="PT Astra Serif" w:cs="Times New Roman"/>
          <w:sz w:val="28"/>
          <w:szCs w:val="28"/>
        </w:rPr>
        <w:t xml:space="preserve">ОГКУ «</w:t>
      </w:r>
      <w:r>
        <w:rPr>
          <w:rFonts w:ascii="PT Astra Serif" w:hAnsi="PT Astra Serif" w:cs="Times New Roman"/>
          <w:sz w:val="28"/>
          <w:szCs w:val="28"/>
        </w:rPr>
        <w:t xml:space="preserve">Томсклес</w:t>
      </w:r>
      <w:r>
        <w:rPr>
          <w:rFonts w:ascii="PT Astra Serif" w:hAnsi="PT Astra Serif" w:cs="Times New Roman"/>
          <w:sz w:val="28"/>
          <w:szCs w:val="28"/>
        </w:rPr>
        <w:t xml:space="preserve">»</w:t>
      </w:r>
      <w:r>
        <w:rPr>
          <w:rFonts w:ascii="PT Astra Serif" w:hAnsi="PT Astra Serif" w:cs="Times New Roman"/>
          <w:sz w:val="28"/>
          <w:szCs w:val="28"/>
        </w:rPr>
        <w:t xml:space="preserve"> проведено 50 выездных обследований.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 w:cs="Times New Roman"/>
          <w:sz w:val="28"/>
          <w:szCs w:val="28"/>
        </w:rPr>
        <w:t xml:space="preserve">Всего по результатам проведенной контрольно-надзорной деятельности сотрудниками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Департаментом и ОГКУ «</w:t>
      </w:r>
      <w:r>
        <w:rPr>
          <w:rFonts w:ascii="PT Astra Serif" w:hAnsi="PT Astra Serif" w:cs="Times New Roman"/>
          <w:sz w:val="28"/>
          <w:szCs w:val="28"/>
        </w:rPr>
        <w:t xml:space="preserve">Томсклес</w:t>
      </w:r>
      <w:r>
        <w:rPr>
          <w:rFonts w:ascii="PT Astra Serif" w:hAnsi="PT Astra Serif" w:cs="Times New Roman"/>
          <w:sz w:val="28"/>
          <w:szCs w:val="28"/>
        </w:rPr>
        <w:t xml:space="preserve">»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выдано</w:t>
      </w:r>
      <w:r>
        <w:rPr>
          <w:rFonts w:ascii="PT Astra Serif" w:hAnsi="PT Astra Serif" w:cs="Times New Roman"/>
          <w:sz w:val="28"/>
          <w:szCs w:val="28"/>
        </w:rPr>
        <w:t xml:space="preserve"> 80 </w:t>
      </w:r>
      <w:r>
        <w:rPr>
          <w:rFonts w:ascii="PT Astra Serif" w:hAnsi="PT Astra Serif" w:cs="Times New Roman"/>
          <w:sz w:val="28"/>
          <w:szCs w:val="28"/>
        </w:rPr>
        <w:t xml:space="preserve">предостережений.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 w:cs="Times New Roman"/>
          <w:sz w:val="28"/>
          <w:szCs w:val="28"/>
        </w:rPr>
        <w:t xml:space="preserve">С целью оперативного реагирования организована круглосуточная ра</w:t>
      </w:r>
      <w:r>
        <w:rPr>
          <w:rFonts w:ascii="PT Astra Serif" w:hAnsi="PT Astra Serif" w:cs="Times New Roman"/>
          <w:sz w:val="28"/>
          <w:szCs w:val="28"/>
        </w:rPr>
        <w:t xml:space="preserve">бота по приему сообщений о совершаемых </w:t>
      </w:r>
      <w:r>
        <w:rPr>
          <w:rFonts w:ascii="PT Astra Serif" w:hAnsi="PT Astra Serif" w:cs="Times New Roman"/>
          <w:sz w:val="28"/>
          <w:szCs w:val="28"/>
        </w:rPr>
        <w:br/>
        <w:t xml:space="preserve">в лесу нарушениях через региональную диспетчерскую службу лесного хозяйства Томской области (РДС), позволяющую производить моментальный обмен</w:t>
      </w:r>
      <w:r>
        <w:rPr>
          <w:rFonts w:ascii="PT Astra Serif" w:hAnsi="PT Astra Serif" w:cs="Times New Roman"/>
          <w:sz w:val="28"/>
          <w:szCs w:val="28"/>
        </w:rPr>
        <w:t xml:space="preserve"> информацией между всеми участниками межведомственного взаимодействия.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 w:cs="Times New Roman"/>
          <w:sz w:val="28"/>
          <w:szCs w:val="28"/>
        </w:rPr>
        <w:t xml:space="preserve">На о</w:t>
      </w:r>
      <w:r>
        <w:rPr>
          <w:rFonts w:ascii="PT Astra Serif" w:hAnsi="PT Astra Serif" w:cs="Times New Roman"/>
          <w:sz w:val="28"/>
          <w:szCs w:val="28"/>
        </w:rPr>
        <w:t xml:space="preserve">фициальном сайте Департамента работает сервис прямого обращения граждан, позволяющий отправить текстовое сообщение о </w:t>
      </w:r>
      <w:r>
        <w:rPr>
          <w:rFonts w:ascii="PT Astra Serif" w:hAnsi="PT Astra Serif" w:cs="Times New Roman"/>
          <w:sz w:val="28"/>
          <w:szCs w:val="28"/>
        </w:rPr>
        <w:t xml:space="preserve">лесонарушении</w:t>
      </w:r>
      <w:r>
        <w:rPr>
          <w:rFonts w:ascii="PT Astra Serif" w:hAnsi="PT Astra Serif" w:cs="Times New Roman"/>
          <w:sz w:val="28"/>
          <w:szCs w:val="28"/>
        </w:rPr>
        <w:t xml:space="preserve">, прикрепив к нему фотографии, в том числе с привязкой к географическим координатам. Такие сообщения автоматически отображаютс</w:t>
      </w:r>
      <w:r>
        <w:rPr>
          <w:rFonts w:ascii="PT Astra Serif" w:hAnsi="PT Astra Serif" w:cs="Times New Roman"/>
          <w:sz w:val="28"/>
          <w:szCs w:val="28"/>
        </w:rPr>
        <w:t xml:space="preserve">я в вышеуказанном мобильном приложении.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 w:cs="Times New Roman"/>
          <w:sz w:val="28"/>
          <w:szCs w:val="28"/>
        </w:rPr>
        <w:t xml:space="preserve">Проверка поступивших сообщений проводится как сотрудниками Департамента, так и специалистами лесничеств в зависимости от отдалённости места возможного </w:t>
      </w:r>
      <w:r>
        <w:rPr>
          <w:rFonts w:ascii="PT Astra Serif" w:hAnsi="PT Astra Serif" w:cs="Times New Roman"/>
          <w:sz w:val="28"/>
          <w:szCs w:val="28"/>
        </w:rPr>
        <w:t xml:space="preserve">лесонарушения</w:t>
      </w:r>
      <w:r>
        <w:rPr>
          <w:rFonts w:ascii="PT Astra Serif" w:hAnsi="PT Astra Serif" w:cs="Times New Roman"/>
          <w:sz w:val="28"/>
          <w:szCs w:val="28"/>
        </w:rPr>
        <w:t xml:space="preserve"> и содержания поступившей информации.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 w:cs="Times New Roman"/>
          <w:sz w:val="28"/>
          <w:szCs w:val="28"/>
        </w:rPr>
        <w:t xml:space="preserve">Предпринятые </w:t>
      </w:r>
      <w:r>
        <w:rPr>
          <w:rFonts w:ascii="PT Astra Serif" w:hAnsi="PT Astra Serif" w:cs="Times New Roman"/>
          <w:sz w:val="28"/>
          <w:szCs w:val="28"/>
        </w:rPr>
        <w:t xml:space="preserve">на территории Томской области меры позволили повысить эффективность борьбы с незаконными рубками и оборотом древесины, что в свою очередь позволило инспекторам лесной охраны региона из года в год добиваться положительных результатов на данном направлении д</w:t>
      </w:r>
      <w:r>
        <w:rPr>
          <w:rFonts w:ascii="PT Astra Serif" w:hAnsi="PT Astra Serif" w:cs="Times New Roman"/>
          <w:sz w:val="28"/>
          <w:szCs w:val="28"/>
        </w:rPr>
        <w:t xml:space="preserve">еятельности.</w:t>
      </w:r>
      <w:r>
        <w:rPr>
          <w:sz w:val="28"/>
          <w:szCs w:val="28"/>
        </w:rPr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 w:cs="Times New Roman"/>
          <w:sz w:val="28"/>
          <w:szCs w:val="28"/>
        </w:rPr>
        <w:t xml:space="preserve">На постоянной основе осуществляется регулярное межведомственное взаимодействие с органами МВД, ФСБ, прокуратурой, таможней и другими контролирующими органами.</w:t>
      </w:r>
      <w:r>
        <w:rPr>
          <w:sz w:val="28"/>
          <w:szCs w:val="28"/>
        </w:rPr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 w:cs="Times New Roman"/>
          <w:sz w:val="28"/>
          <w:szCs w:val="28"/>
        </w:rPr>
        <w:t xml:space="preserve">Положительно себя зарекомендовала практика проведения совместных межведомственных ме</w:t>
      </w:r>
      <w:r>
        <w:rPr>
          <w:rFonts w:ascii="PT Astra Serif" w:hAnsi="PT Astra Serif" w:cs="Times New Roman"/>
          <w:sz w:val="28"/>
          <w:szCs w:val="28"/>
        </w:rPr>
        <w:t xml:space="preserve">роприятий</w:t>
      </w:r>
      <w:r>
        <w:rPr>
          <w:rFonts w:ascii="PT Astra Serif" w:hAnsi="PT Astra Serif" w:cs="Times New Roman"/>
          <w:sz w:val="28"/>
          <w:szCs w:val="28"/>
        </w:rPr>
        <w:br/>
        <w:t xml:space="preserve">с сотрудниками ОМВД России по Томской области, направленных на профилактику, выявление и пресечение нарушений требований лесного законодательства. </w:t>
      </w:r>
      <w:r>
        <w:rPr>
          <w:sz w:val="28"/>
          <w:szCs w:val="28"/>
        </w:rPr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 w:cs="Times New Roman"/>
          <w:sz w:val="28"/>
          <w:szCs w:val="28"/>
        </w:rPr>
        <w:t xml:space="preserve">С целью повышения эффективности проведения на территории Томской области мероприятий, направленных</w:t>
      </w:r>
      <w:r>
        <w:rPr>
          <w:rFonts w:ascii="PT Astra Serif" w:hAnsi="PT Astra Serif" w:cs="Times New Roman"/>
          <w:sz w:val="28"/>
          <w:szCs w:val="28"/>
        </w:rPr>
        <w:br/>
        <w:t xml:space="preserve">на выявление и пресечение нарушений требований лесного законодательства и минимизации рисков возникновения личной заинтересованности, связанной с проживанием работников лесного хозяйства в населенных пунктах, расположенных в непосредственной близости с ко</w:t>
      </w:r>
      <w:r>
        <w:rPr>
          <w:rFonts w:ascii="PT Astra Serif" w:hAnsi="PT Astra Serif" w:cs="Times New Roman"/>
          <w:sz w:val="28"/>
          <w:szCs w:val="28"/>
        </w:rPr>
        <w:t xml:space="preserve">нтролируемой территорией, в 2020 году при ОГКУ «</w:t>
      </w:r>
      <w:r>
        <w:rPr>
          <w:rFonts w:ascii="PT Astra Serif" w:hAnsi="PT Astra Serif" w:cs="Times New Roman"/>
          <w:sz w:val="28"/>
          <w:szCs w:val="28"/>
        </w:rPr>
        <w:t xml:space="preserve">Томсклес</w:t>
      </w:r>
      <w:r>
        <w:rPr>
          <w:rFonts w:ascii="PT Astra Serif" w:hAnsi="PT Astra Serif" w:cs="Times New Roman"/>
          <w:sz w:val="28"/>
          <w:szCs w:val="28"/>
        </w:rPr>
        <w:t xml:space="preserve">» создано экстерриториальное подразделение, основной задачей которого является выявление и пресечение нарушений требований лесного</w:t>
      </w:r>
      <w:r>
        <w:rPr>
          <w:rFonts w:ascii="PT Astra Serif" w:hAnsi="PT Astra Serif" w:cs="Times New Roman"/>
          <w:sz w:val="28"/>
          <w:szCs w:val="28"/>
        </w:rPr>
        <w:t xml:space="preserve"> законодательства, а также мониторинг пожарной опасности в течение пож</w:t>
      </w:r>
      <w:r>
        <w:rPr>
          <w:rFonts w:ascii="PT Astra Serif" w:hAnsi="PT Astra Serif" w:cs="Times New Roman"/>
          <w:sz w:val="28"/>
          <w:szCs w:val="28"/>
        </w:rPr>
        <w:t xml:space="preserve">ароопасного сезона на всей территории лесного фонда Томской области. </w:t>
      </w:r>
      <w:r>
        <w:rPr>
          <w:sz w:val="28"/>
          <w:szCs w:val="28"/>
        </w:rPr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 w:cs="Times New Roman"/>
          <w:sz w:val="28"/>
          <w:szCs w:val="28"/>
        </w:rPr>
        <w:t xml:space="preserve">Образование такого подразделения позволило увеличить показатель </w:t>
      </w:r>
      <w:r>
        <w:rPr>
          <w:rFonts w:ascii="PT Astra Serif" w:hAnsi="PT Astra Serif" w:cs="Times New Roman"/>
          <w:sz w:val="28"/>
          <w:szCs w:val="28"/>
        </w:rPr>
        <w:t xml:space="preserve">выявляемости</w:t>
      </w:r>
      <w:r>
        <w:rPr>
          <w:rFonts w:ascii="PT Astra Serif" w:hAnsi="PT Astra Serif" w:cs="Times New Roman"/>
          <w:sz w:val="28"/>
          <w:szCs w:val="28"/>
        </w:rPr>
        <w:t xml:space="preserve"> лиц совершивших незаконные рубки в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2023 году. </w:t>
      </w:r>
      <w:r>
        <w:rPr>
          <w:sz w:val="28"/>
          <w:szCs w:val="28"/>
        </w:rPr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 w:cs="Times New Roman"/>
          <w:sz w:val="28"/>
          <w:szCs w:val="28"/>
        </w:rPr>
        <w:t xml:space="preserve">Департаментом продолжена </w:t>
      </w:r>
      <w:r>
        <w:rPr>
          <w:rFonts w:ascii="PT Astra Serif" w:hAnsi="PT Astra Serif" w:cs="Times New Roman"/>
          <w:sz w:val="28"/>
          <w:szCs w:val="28"/>
        </w:rPr>
        <w:t xml:space="preserve">претензионно</w:t>
      </w:r>
      <w:r>
        <w:rPr>
          <w:rFonts w:ascii="PT Astra Serif" w:hAnsi="PT Astra Serif" w:cs="Times New Roman"/>
          <w:sz w:val="28"/>
          <w:szCs w:val="28"/>
        </w:rPr>
        <w:t xml:space="preserve">-исковая работа по понуждению лиц использующих леса</w:t>
      </w:r>
      <w:r>
        <w:rPr>
          <w:rFonts w:ascii="PT Astra Serif" w:hAnsi="PT Astra Serif" w:cs="Times New Roman"/>
          <w:sz w:val="28"/>
          <w:szCs w:val="28"/>
        </w:rPr>
        <w:br/>
        <w:t xml:space="preserve">к устранению ранее допущенных нарушений. При проведении данной работы к арендаторам лесных участков активно применяется такая мера судебног</w:t>
      </w:r>
      <w:r>
        <w:rPr>
          <w:rFonts w:ascii="PT Astra Serif" w:hAnsi="PT Astra Serif" w:cs="Times New Roman"/>
          <w:sz w:val="28"/>
          <w:szCs w:val="28"/>
        </w:rPr>
        <w:t xml:space="preserve">о понуждения как приостановка деятельности по заготовке древесины до полного устранения допущенных нарушений лесного законодательства.</w:t>
      </w:r>
      <w:r>
        <w:rPr>
          <w:sz w:val="28"/>
          <w:szCs w:val="28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Times New Roman"/>
        </w:rPr>
      </w:pPr>
      <w:r>
        <w:rPr>
          <w:rFonts w:ascii="PT Astra Serif" w:hAnsi="PT Astra Serif" w:cs="Times New Roman"/>
          <w:sz w:val="28"/>
          <w:szCs w:val="28"/>
        </w:rPr>
        <w:t xml:space="preserve">Данная практика носит положительный эффект, поскольку ещё до вынесения судом решения большинство</w:t>
      </w:r>
      <w:r>
        <w:rPr>
          <w:rFonts w:ascii="PT Astra Serif" w:hAnsi="PT Astra Serif" w:cs="Times New Roman"/>
          <w:sz w:val="28"/>
          <w:szCs w:val="28"/>
        </w:rPr>
        <w:br/>
        <w:t xml:space="preserve">из арендаторов лесных уч</w:t>
      </w:r>
      <w:r>
        <w:rPr>
          <w:rFonts w:ascii="PT Astra Serif" w:hAnsi="PT Astra Serif" w:cs="Times New Roman"/>
          <w:sz w:val="28"/>
          <w:szCs w:val="28"/>
        </w:rPr>
        <w:t xml:space="preserve">астков принимают меры, направленные на выполнение мероприятий по воспроизводству лесов</w:t>
      </w:r>
      <w:r>
        <w:rPr>
          <w:rFonts w:ascii="PT Astra Serif" w:hAnsi="PT Astra Serif" w:cs="Times New Roman"/>
          <w:sz w:val="28"/>
          <w:szCs w:val="28"/>
        </w:rPr>
        <w:br/>
        <w:t xml:space="preserve">с целью избежать приостановления деятельности.</w:t>
      </w:r>
      <w:bookmarkStart w:id="0" w:name="undefined"/>
      <w:r/>
      <w:bookmarkEnd w:id="0"/>
      <w:r>
        <w:rPr>
          <w:rFonts w:ascii="PT Astra Serif" w:hAnsi="PT Astra Serif" w:cs="Times New Roman"/>
          <w:sz w:val="28"/>
          <w:szCs w:val="28"/>
        </w:rPr>
      </w:r>
      <w:r/>
    </w:p>
    <w:p>
      <w:pPr>
        <w:jc w:val="center"/>
        <w:spacing w:after="0" w:line="240" w:lineRule="auto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  <w:highlight w:val="none"/>
        </w:rPr>
      </w:r>
      <w:r>
        <w:rPr>
          <w:rFonts w:ascii="PT Astra Serif" w:hAnsi="PT Astra Serif"/>
          <w:b/>
          <w:sz w:val="28"/>
          <w:szCs w:val="28"/>
          <w:highlight w:val="none"/>
        </w:rPr>
      </w:r>
    </w:p>
    <w:sectPr>
      <w:footnotePr/>
      <w:endnotePr/>
      <w:type w:val="nextPage"/>
      <w:pgSz w:w="16838" w:h="11906" w:orient="landscape"/>
      <w:pgMar w:top="567" w:right="850" w:bottom="850" w:left="1417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0"/>
    <w:next w:val="810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1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0"/>
    <w:next w:val="810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1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0"/>
    <w:next w:val="810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1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0"/>
    <w:next w:val="810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1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0"/>
    <w:next w:val="810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1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0"/>
    <w:next w:val="810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1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0"/>
    <w:next w:val="810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1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0"/>
    <w:next w:val="810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1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0"/>
    <w:next w:val="810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1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0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0"/>
    <w:next w:val="810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1"/>
    <w:link w:val="654"/>
    <w:uiPriority w:val="10"/>
    <w:rPr>
      <w:sz w:val="48"/>
      <w:szCs w:val="48"/>
    </w:rPr>
  </w:style>
  <w:style w:type="paragraph" w:styleId="656">
    <w:name w:val="Subtitle"/>
    <w:basedOn w:val="810"/>
    <w:next w:val="810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1"/>
    <w:link w:val="656"/>
    <w:uiPriority w:val="11"/>
    <w:rPr>
      <w:sz w:val="24"/>
      <w:szCs w:val="24"/>
    </w:rPr>
  </w:style>
  <w:style w:type="paragraph" w:styleId="658">
    <w:name w:val="Quote"/>
    <w:basedOn w:val="810"/>
    <w:next w:val="810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0"/>
    <w:next w:val="810"/>
    <w:link w:val="661"/>
    <w:uiPriority w:val="30"/>
    <w:qFormat/>
    <w:pPr>
      <w:contextualSpacing w:val="0"/>
      <w:ind w:left="720" w:right="720"/>
      <w:shd w:val="clear" w:color="f2f2f2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0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1"/>
    <w:link w:val="662"/>
    <w:uiPriority w:val="99"/>
  </w:style>
  <w:style w:type="paragraph" w:styleId="664">
    <w:name w:val="Footer"/>
    <w:basedOn w:val="810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1"/>
    <w:link w:val="664"/>
    <w:uiPriority w:val="99"/>
  </w:style>
  <w:style w:type="paragraph" w:styleId="666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fill="ffffff" w:themeFill="text1" w:themeFillTint="0D"/>
      </w:tcPr>
    </w:tblStylePr>
    <w:tblStylePr w:type="band1Vert">
      <w:tcPr>
        <w:shd w:val="clear" w:color="ffffff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2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3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4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6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7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8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9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0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1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2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text1" w:themeFillTint="40"/>
    </w:tblPr>
    <w:tblStylePr w:type="band1Horz">
      <w:tcPr>
        <w:shd w:val="clear" w:color="ffffff" w:fill="ffffff" w:themeFill="text1" w:themeFillTint="75"/>
      </w:tcPr>
    </w:tblStylePr>
    <w:tblStylePr w:type="band1Vert">
      <w:tcPr>
        <w:shd w:val="clear" w:color="ffffff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text1"/>
        <w:tcBorders>
          <w:top w:val="single" w:color="000000" w:themeColor="light1" w:sz="4" w:space="0"/>
        </w:tcBorders>
      </w:tcPr>
    </w:tblStylePr>
  </w:style>
  <w:style w:type="table" w:styleId="703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1" w:themeFillTint="34"/>
    </w:tblPr>
    <w:tblStylePr w:type="band1Horz">
      <w:tcPr>
        <w:shd w:val="clear" w:color="ffffff" w:fill="ffffff" w:themeFill="accent1" w:themeFillTint="75"/>
      </w:tcPr>
    </w:tblStylePr>
    <w:tblStylePr w:type="band1Vert">
      <w:tcPr>
        <w:shd w:val="clear" w:color="ffffff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1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2" w:themeFillTint="32"/>
    </w:tblPr>
    <w:tblStylePr w:type="band1Horz">
      <w:tcPr>
        <w:shd w:val="clear" w:color="ffffff" w:fill="ffffff" w:themeFill="accent2" w:themeFillTint="75"/>
      </w:tcPr>
    </w:tblStylePr>
    <w:tblStylePr w:type="band1Vert">
      <w:tcPr>
        <w:shd w:val="clear" w:color="ffffff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2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3" w:themeFillTint="34"/>
    </w:tblPr>
    <w:tblStylePr w:type="band1Horz">
      <w:tcPr>
        <w:shd w:val="clear" w:color="ffffff" w:fill="ffffff" w:themeFill="accent3" w:themeFillTint="75"/>
      </w:tcPr>
    </w:tblStylePr>
    <w:tblStylePr w:type="band1Vert">
      <w:tcPr>
        <w:shd w:val="clear" w:color="ffffff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3"/>
        <w:tcBorders>
          <w:top w:val="single" w:color="000000" w:themeColor="light1" w:sz="4" w:space="0"/>
        </w:tcBorders>
      </w:tcPr>
    </w:tblStylePr>
  </w:style>
  <w:style w:type="table" w:styleId="706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4" w:themeFillTint="34"/>
    </w:tblPr>
    <w:tblStylePr w:type="band1Horz">
      <w:tcPr>
        <w:shd w:val="clear" w:color="ffffff" w:fill="ffffff" w:themeFill="accent4" w:themeFillTint="75"/>
      </w:tcPr>
    </w:tblStylePr>
    <w:tblStylePr w:type="band1Vert">
      <w:tcPr>
        <w:shd w:val="clear" w:color="ffffff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4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5" w:themeFillTint="34"/>
    </w:tblPr>
    <w:tblStylePr w:type="band1Horz">
      <w:tcPr>
        <w:shd w:val="clear" w:color="ffffff" w:fill="ffffff" w:themeFill="accent5" w:themeFillTint="75"/>
      </w:tcPr>
    </w:tblStylePr>
    <w:tblStylePr w:type="band1Vert">
      <w:tcPr>
        <w:shd w:val="clear" w:color="ffffff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5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6" w:themeFillTint="34"/>
    </w:tblPr>
    <w:tblStylePr w:type="band1Horz">
      <w:tcPr>
        <w:shd w:val="clear" w:color="ffffff" w:fill="ffffff" w:themeFill="accent6" w:themeFillTint="75"/>
      </w:tcPr>
    </w:tblStylePr>
    <w:tblStylePr w:type="band1Vert">
      <w:tcPr>
        <w:shd w:val="clear" w:color="ffffff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6"/>
        <w:tcBorders>
          <w:top w:val="single" w:color="000000" w:themeColor="light1" w:sz="4" w:space="0"/>
        </w:tcBorders>
      </w:tcPr>
    </w:tblStylePr>
  </w:style>
  <w:style w:type="table" w:styleId="709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fill="ffffff" w:themeFill="text1" w:themeFillTint="34"/>
      </w:tcPr>
    </w:tblStylePr>
    <w:tblStylePr w:type="band1Vert">
      <w:tcPr>
        <w:shd w:val="clear" w:color="ffffff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0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fill="ffffff" w:themeFill="accent1" w:themeFillTint="34"/>
      </w:tcPr>
    </w:tblStylePr>
    <w:tblStylePr w:type="band1Vert">
      <w:tcPr>
        <w:shd w:val="clear" w:color="ffffff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1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fill="ffffff" w:themeFill="accent2" w:themeFillTint="32"/>
      </w:tcPr>
    </w:tblStylePr>
    <w:tblStylePr w:type="band1Vert">
      <w:tcPr>
        <w:shd w:val="clear" w:color="ffffff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2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fill="ffffff" w:themeFill="accent3" w:themeFillTint="34"/>
      </w:tcPr>
    </w:tblStylePr>
    <w:tblStylePr w:type="band1Vert">
      <w:tcPr>
        <w:shd w:val="clear" w:color="ffffff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3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fill="ffffff" w:themeFill="accent4" w:themeFillTint="34"/>
      </w:tcPr>
    </w:tblStylePr>
    <w:tblStylePr w:type="band1Vert">
      <w:tcPr>
        <w:shd w:val="clear" w:color="ffffff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4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fill="ffffff" w:themeFill="accent5" w:themeFillTint="34"/>
      </w:tcPr>
    </w:tblStylePr>
    <w:tblStylePr w:type="band1Vert">
      <w:tcPr>
        <w:shd w:val="clear" w:color="ffffff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fill="ffffff" w:themeFill="accent6" w:themeFillTint="34"/>
      </w:tcPr>
    </w:tblStylePr>
    <w:tblStylePr w:type="band1Vert">
      <w:tcPr>
        <w:shd w:val="clear" w:color="ffffff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fill="ffffff" w:themeFill="text1" w:themeFillTint="0D"/>
      </w:tcPr>
    </w:tblStylePr>
    <w:tblStylePr w:type="band1Vert">
      <w:tcPr>
        <w:shd w:val="clear" w:color="ffffff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fill="ffffff" w:themeFill="accent1" w:themeFillTint="34"/>
      </w:tcPr>
    </w:tblStylePr>
    <w:tblStylePr w:type="band1Vert">
      <w:tcPr>
        <w:shd w:val="clear" w:color="ffffff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fill="ffffff" w:themeFill="accent2" w:themeFillTint="32"/>
      </w:tcPr>
    </w:tblStylePr>
    <w:tblStylePr w:type="band1Vert">
      <w:tcPr>
        <w:shd w:val="clear" w:color="ffffff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fill="ffffff" w:themeFill="accent3" w:themeFillTint="34"/>
      </w:tcPr>
    </w:tblStylePr>
    <w:tblStylePr w:type="band1Vert">
      <w:tcPr>
        <w:shd w:val="clear" w:color="ffffff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fill="ffffff" w:themeFill="accent4" w:themeFillTint="34"/>
      </w:tcPr>
    </w:tblStylePr>
    <w:tblStylePr w:type="band1Vert">
      <w:tcPr>
        <w:shd w:val="clear" w:color="ffffff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fill="ffffff" w:themeFill="accent5" w:themeFillTint="34"/>
      </w:tcPr>
    </w:tblStylePr>
    <w:tblStylePr w:type="band1Vert">
      <w:tcPr>
        <w:shd w:val="clear" w:color="ffffff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fill="ffffff" w:themeFill="accent6" w:themeFillTint="34"/>
      </w:tcPr>
    </w:tblStylePr>
    <w:tblStylePr w:type="band1Vert">
      <w:tcPr>
        <w:shd w:val="clear" w:color="ffffff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1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2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3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4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5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6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7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fill="ffffff" w:themeFill="text1" w:themeFillTint="80"/>
    </w:tblPr>
    <w:tblStylePr w:type="band1Horz">
      <w:tcPr>
        <w:shd w:val="clear" w:color="ffffff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fill="ffffff" w:themeFill="accent1"/>
    </w:tblPr>
    <w:tblStylePr w:type="band1Horz">
      <w:tcPr>
        <w:shd w:val="clear" w:color="ffffff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fill="ffffff" w:themeFill="accent2" w:themeFillTint="97"/>
    </w:tblPr>
    <w:tblStylePr w:type="band1Horz">
      <w:tcPr>
        <w:shd w:val="clear" w:color="ffffff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fill="ffffff" w:themeFill="accent3" w:themeFillTint="98"/>
    </w:tblPr>
    <w:tblStylePr w:type="band1Horz">
      <w:tcPr>
        <w:shd w:val="clear" w:color="ffffff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fill="ffffff" w:themeFill="accent4" w:themeFillTint="9A"/>
    </w:tblPr>
    <w:tblStylePr w:type="band1Horz">
      <w:tcPr>
        <w:shd w:val="clear" w:color="ffffff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fill="ffffff" w:themeFill="accent5" w:themeFillTint="9A"/>
    </w:tblPr>
    <w:tblStylePr w:type="band1Horz">
      <w:tcPr>
        <w:shd w:val="clear" w:color="ffffff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fill="ffffff" w:themeFill="accent6" w:themeFillTint="98"/>
    </w:tblPr>
    <w:tblStylePr w:type="band1Horz">
      <w:tcPr>
        <w:shd w:val="clear" w:color="ffffff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9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0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1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2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3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4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5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6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7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8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9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0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1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2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</w:style>
  <w:style w:type="table" w:styleId="773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</w:style>
  <w:style w:type="table" w:styleId="774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</w:style>
  <w:style w:type="table" w:styleId="775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</w:style>
  <w:style w:type="table" w:styleId="776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</w:style>
  <w:style w:type="table" w:styleId="777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</w:style>
  <w:style w:type="table" w:styleId="778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</w:style>
  <w:style w:type="table" w:styleId="779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</w:style>
  <w:style w:type="table" w:styleId="780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</w:style>
  <w:style w:type="table" w:styleId="781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</w:style>
  <w:style w:type="table" w:styleId="782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</w:style>
  <w:style w:type="table" w:styleId="783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</w:style>
  <w:style w:type="table" w:styleId="784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</w:style>
  <w:style w:type="table" w:styleId="785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</w:style>
  <w:style w:type="table" w:styleId="786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7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8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9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0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1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2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qFormat/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character" w:styleId="814">
    <w:name w:val="Hyperlink"/>
    <w:basedOn w:val="811"/>
    <w:uiPriority w:val="99"/>
    <w:unhideWhenUsed/>
    <w:rPr>
      <w:color w:val="0000ff" w:themeColor="hyperlink"/>
      <w:u w:val="single"/>
    </w:rPr>
  </w:style>
  <w:style w:type="paragraph" w:styleId="815">
    <w:name w:val="Balloon Text"/>
    <w:basedOn w:val="810"/>
    <w:link w:val="81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16" w:customStyle="1">
    <w:name w:val="Текст выноски Знак"/>
    <w:basedOn w:val="811"/>
    <w:link w:val="815"/>
    <w:uiPriority w:val="99"/>
    <w:semiHidden/>
    <w:rPr>
      <w:rFonts w:ascii="Tahoma" w:hAnsi="Tahoma" w:cs="Tahoma"/>
      <w:sz w:val="16"/>
      <w:szCs w:val="16"/>
    </w:rPr>
  </w:style>
  <w:style w:type="table" w:styleId="817">
    <w:name w:val="Table Grid"/>
    <w:basedOn w:val="81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 И. Струков</dc:creator>
  <cp:revision>8</cp:revision>
  <dcterms:created xsi:type="dcterms:W3CDTF">2023-02-28T04:11:00Z</dcterms:created>
  <dcterms:modified xsi:type="dcterms:W3CDTF">2024-04-03T08:52:28Z</dcterms:modified>
</cp:coreProperties>
</file>