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9"/>
        <w:ind w:left="106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Выполнение </w:t>
      </w:r>
      <w:r>
        <w:rPr>
          <w:rFonts w:ascii="PT Astra Serif" w:hAnsi="PT Astra Serif" w:cs="PT Astra Serif"/>
          <w:b/>
          <w:sz w:val="26"/>
          <w:szCs w:val="26"/>
        </w:rPr>
        <w:t xml:space="preserve">мероприятий по </w:t>
      </w:r>
      <w:r>
        <w:rPr>
          <w:rFonts w:ascii="PT Astra Serif" w:hAnsi="PT Astra Serif" w:cs="PT Astra Serif"/>
          <w:b/>
          <w:sz w:val="26"/>
          <w:szCs w:val="26"/>
        </w:rPr>
        <w:t xml:space="preserve">лесовосстановлени</w:t>
      </w:r>
      <w:r>
        <w:rPr>
          <w:rFonts w:ascii="PT Astra Serif" w:hAnsi="PT Astra Serif" w:cs="PT Astra Serif"/>
          <w:b/>
          <w:sz w:val="26"/>
          <w:szCs w:val="26"/>
        </w:rPr>
        <w:t xml:space="preserve">ю</w:t>
      </w:r>
      <w:r>
        <w:rPr>
          <w:rFonts w:ascii="PT Astra Serif" w:hAnsi="PT Astra Serif" w:cs="PT Astra Serif"/>
          <w:b/>
          <w:sz w:val="26"/>
          <w:szCs w:val="26"/>
        </w:rPr>
        <w:t xml:space="preserve"> в </w:t>
      </w:r>
      <w:r>
        <w:rPr>
          <w:rFonts w:ascii="PT Astra Serif" w:hAnsi="PT Astra Serif" w:cs="PT Astra Serif"/>
          <w:b/>
          <w:sz w:val="26"/>
          <w:szCs w:val="26"/>
        </w:rPr>
        <w:t xml:space="preserve">2023</w:t>
      </w:r>
      <w:r>
        <w:rPr>
          <w:rFonts w:ascii="PT Astra Serif" w:hAnsi="PT Astra Serif" w:cs="PT Astra Serif"/>
          <w:b/>
          <w:sz w:val="26"/>
          <w:szCs w:val="26"/>
        </w:rPr>
        <w:t xml:space="preserve"> году</w:t>
      </w:r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609"/>
        <w:ind w:left="106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и планы на 2024 год </w:t>
      </w:r>
      <w:r>
        <w:rPr>
          <w:rFonts w:ascii="PT Astra Serif" w:hAnsi="PT Astra Serif" w:cs="PT Astra Serif"/>
          <w:b/>
          <w:sz w:val="26"/>
          <w:szCs w:val="26"/>
        </w:rPr>
        <w:t xml:space="preserve">на территории</w:t>
      </w:r>
      <w:r>
        <w:rPr>
          <w:rFonts w:ascii="PT Astra Serif" w:hAnsi="PT Astra Serif" w:cs="PT Astra Serif"/>
          <w:b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609"/>
        <w:ind w:left="106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Объем лесовосстановления в 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году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регионе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был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запланирован на площади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color w:val="000000" w:themeColor="text1"/>
          <w:sz w:val="26"/>
          <w:szCs w:val="26"/>
        </w:rPr>
        <w:t xml:space="preserve">39,004</w:t>
      </w:r>
      <w:r>
        <w:rPr>
          <w:rFonts w:ascii="PT Astra Serif" w:hAnsi="PT Astra Serif" w:cs="PT Astra Serif"/>
          <w:b/>
          <w:color w:val="000000" w:themeColor="text1"/>
          <w:sz w:val="26"/>
          <w:szCs w:val="26"/>
        </w:rPr>
        <w:t xml:space="preserve"> тыс.</w:t>
      </w:r>
      <w:r>
        <w:rPr>
          <w:rFonts w:ascii="PT Astra Serif" w:hAnsi="PT Astra Serif" w:cs="PT Astra Serif"/>
          <w:b/>
          <w:color w:val="000000" w:themeColor="text1"/>
          <w:sz w:val="26"/>
          <w:szCs w:val="26"/>
        </w:rPr>
        <w:t xml:space="preserve"> га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из них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искусственное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– 1,975 тыс. га, комбинированное – 1,3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80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тыс. га 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естественное лесовосстановление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- 35,649  тыс. га.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Мероприятия по лесовосстановлению, выполненные на арендованных лесных участках за счет средств арендаторов составляют </w:t>
      </w:r>
      <w:r>
        <w:rPr>
          <w:rFonts w:ascii="PT Astra Serif" w:hAnsi="PT Astra Serif" w:cs="PT Astra Serif"/>
          <w:sz w:val="26"/>
          <w:szCs w:val="26"/>
        </w:rPr>
        <w:t xml:space="preserve">47,378</w:t>
      </w:r>
      <w:r>
        <w:rPr>
          <w:rFonts w:ascii="PT Astra Serif" w:hAnsi="PT Astra Serif" w:cs="PT Astra Serif"/>
          <w:sz w:val="26"/>
          <w:szCs w:val="26"/>
        </w:rPr>
        <w:t xml:space="preserve"> тыс. га</w:t>
      </w:r>
      <w:r>
        <w:rPr>
          <w:rFonts w:ascii="PT Astra Serif" w:hAnsi="PT Astra Serif" w:cs="PT Astra Serif"/>
          <w:sz w:val="26"/>
          <w:szCs w:val="26"/>
        </w:rPr>
        <w:t xml:space="preserve"> или 121,5%</w:t>
      </w:r>
      <w:r>
        <w:rPr>
          <w:rFonts w:ascii="PT Astra Serif" w:hAnsi="PT Astra Serif" w:cs="PT Astra Serif"/>
          <w:sz w:val="26"/>
          <w:szCs w:val="26"/>
        </w:rPr>
        <w:t xml:space="preserve"> от запланированного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i/>
          <w:sz w:val="26"/>
          <w:szCs w:val="26"/>
        </w:rPr>
        <w:t xml:space="preserve">в том числе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искусств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енное при плане 1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97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5 га выполнено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732,5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 га или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37,1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%;</w:t>
      </w:r>
      <w:r>
        <w:rPr>
          <w:rFonts w:ascii="PT Astra Serif" w:hAnsi="PT Astra Serif" w:cs="PT Astra Serif"/>
          <w:i/>
          <w:sz w:val="26"/>
          <w:szCs w:val="26"/>
        </w:rPr>
        <w:t xml:space="preserve">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комбинированное лесовосстановления при плане 1380 га выполнено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283,7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 га или 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20,6</w:t>
      </w:r>
      <w:r>
        <w:rPr>
          <w:rFonts w:ascii="PT Astra Serif" w:hAnsi="PT Astra Serif" w:cs="PT Astra Serif"/>
          <w:b/>
          <w:i/>
          <w:sz w:val="26"/>
          <w:szCs w:val="26"/>
        </w:rPr>
        <w:t xml:space="preserve">%;</w:t>
      </w:r>
      <w:r>
        <w:rPr>
          <w:rFonts w:ascii="PT Astra Serif" w:hAnsi="PT Astra Serif" w:cs="PT Astra Serif"/>
          <w:i/>
          <w:sz w:val="26"/>
          <w:szCs w:val="26"/>
        </w:rPr>
        <w:t xml:space="preserve"> естественное лесовосстановление при плане 35,649 тыс. га выполнено в объеме </w:t>
      </w:r>
      <w:r>
        <w:rPr>
          <w:rFonts w:ascii="PT Astra Serif" w:hAnsi="PT Astra Serif" w:cs="PT Astra Serif"/>
          <w:i/>
          <w:sz w:val="26"/>
          <w:szCs w:val="26"/>
        </w:rPr>
        <w:t xml:space="preserve">46,362</w:t>
      </w:r>
      <w:r>
        <w:rPr>
          <w:rFonts w:ascii="PT Astra Serif" w:hAnsi="PT Astra Serif" w:cs="PT Astra Serif"/>
          <w:i/>
          <w:sz w:val="26"/>
          <w:szCs w:val="26"/>
        </w:rPr>
        <w:t xml:space="preserve"> тыс. га или </w:t>
      </w:r>
      <w:r>
        <w:rPr>
          <w:rFonts w:ascii="PT Astra Serif" w:hAnsi="PT Astra Serif" w:cs="PT Astra Serif"/>
          <w:i/>
          <w:sz w:val="26"/>
          <w:szCs w:val="26"/>
        </w:rPr>
        <w:t xml:space="preserve">130</w:t>
      </w:r>
      <w:r>
        <w:rPr>
          <w:rFonts w:ascii="PT Astra Serif" w:hAnsi="PT Astra Serif" w:cs="PT Astra Serif"/>
          <w:i/>
          <w:sz w:val="26"/>
          <w:szCs w:val="26"/>
        </w:rPr>
        <w:t xml:space="preserve"> %</w:t>
      </w:r>
      <w:r>
        <w:rPr>
          <w:rFonts w:ascii="PT Astra Serif" w:hAnsi="PT Astra Serif" w:cs="PT Astra Serif"/>
          <w:i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Наибольший объем выполненных мероприятий приходится на </w:t>
      </w:r>
      <w:r>
        <w:rPr>
          <w:rFonts w:ascii="PT Astra Serif" w:hAnsi="PT Astra Serif" w:cs="PT Astra Serif"/>
          <w:sz w:val="26"/>
          <w:szCs w:val="26"/>
        </w:rPr>
        <w:t xml:space="preserve">Верхнекетское</w:t>
      </w:r>
      <w:r>
        <w:rPr>
          <w:rFonts w:ascii="PT Astra Serif" w:hAnsi="PT Astra Serif" w:cs="PT Astra Serif"/>
          <w:sz w:val="26"/>
          <w:szCs w:val="26"/>
        </w:rPr>
        <w:t xml:space="preserve"> лесничество 9 489 га 20 % от всего лесовосстановления в регионе, далее Улу-</w:t>
      </w:r>
      <w:r>
        <w:rPr>
          <w:rFonts w:ascii="PT Astra Serif" w:hAnsi="PT Astra Serif" w:cs="PT Astra Serif"/>
          <w:sz w:val="26"/>
          <w:szCs w:val="26"/>
        </w:rPr>
        <w:t xml:space="preserve">Юльское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Тегульдетское</w:t>
      </w:r>
      <w:r>
        <w:rPr>
          <w:rFonts w:ascii="PT Astra Serif" w:hAnsi="PT Astra Serif" w:cs="PT Astra Serif"/>
          <w:sz w:val="26"/>
          <w:szCs w:val="26"/>
        </w:rPr>
        <w:t xml:space="preserve">, Александровское и </w:t>
      </w:r>
      <w:r>
        <w:rPr>
          <w:rFonts w:ascii="PT Astra Serif" w:hAnsi="PT Astra Serif" w:cs="PT Astra Serif"/>
          <w:sz w:val="26"/>
          <w:szCs w:val="26"/>
        </w:rPr>
        <w:t xml:space="preserve">Бакчарское</w:t>
      </w:r>
      <w:r>
        <w:rPr>
          <w:rFonts w:ascii="PT Astra Serif" w:hAnsi="PT Astra Serif" w:cs="PT Astra Serif"/>
          <w:sz w:val="26"/>
          <w:szCs w:val="26"/>
        </w:rPr>
        <w:t xml:space="preserve"> лесничества.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</w:t>
      </w:r>
      <w:r>
        <w:rPr>
          <w:rFonts w:ascii="PT Astra Serif" w:hAnsi="PT Astra Serif" w:cs="PT Astra Serif"/>
          <w:sz w:val="26"/>
          <w:szCs w:val="26"/>
        </w:rPr>
        <w:t xml:space="preserve">гротехнический уход при плане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7 665</w:t>
      </w:r>
      <w:r>
        <w:rPr>
          <w:rFonts w:ascii="PT Astra Serif" w:hAnsi="PT Astra Serif" w:cs="PT Astra Serif"/>
          <w:sz w:val="26"/>
          <w:szCs w:val="26"/>
        </w:rPr>
        <w:t xml:space="preserve"> га выполнен на площади </w:t>
      </w:r>
      <w:r>
        <w:rPr>
          <w:rFonts w:ascii="PT Astra Serif" w:hAnsi="PT Astra Serif" w:cs="PT Astra Serif"/>
          <w:sz w:val="26"/>
          <w:szCs w:val="26"/>
        </w:rPr>
        <w:t xml:space="preserve">9 938</w:t>
      </w:r>
      <w:r>
        <w:rPr>
          <w:rFonts w:ascii="PT Astra Serif" w:hAnsi="PT Astra Serif" w:cs="PT Astra Serif"/>
          <w:sz w:val="26"/>
          <w:szCs w:val="26"/>
        </w:rPr>
        <w:t xml:space="preserve"> га или 12</w:t>
      </w:r>
      <w:r>
        <w:rPr>
          <w:rFonts w:ascii="PT Astra Serif" w:hAnsi="PT Astra Serif" w:cs="PT Astra Serif"/>
          <w:sz w:val="26"/>
          <w:szCs w:val="26"/>
        </w:rPr>
        <w:t xml:space="preserve">9</w:t>
      </w:r>
      <w:r>
        <w:rPr>
          <w:rFonts w:ascii="PT Astra Serif" w:hAnsi="PT Astra Serif" w:cs="PT Astra Serif"/>
          <w:sz w:val="26"/>
          <w:szCs w:val="26"/>
        </w:rPr>
        <w:t xml:space="preserve">,</w:t>
      </w:r>
      <w:r>
        <w:rPr>
          <w:rFonts w:ascii="PT Astra Serif" w:hAnsi="PT Astra Serif" w:cs="PT Astra Serif"/>
          <w:sz w:val="26"/>
          <w:szCs w:val="26"/>
        </w:rPr>
        <w:t xml:space="preserve">6</w:t>
      </w:r>
      <w:r>
        <w:rPr>
          <w:rFonts w:ascii="PT Astra Serif" w:hAnsi="PT Astra Serif" w:cs="PT Astra Serif"/>
          <w:sz w:val="26"/>
          <w:szCs w:val="26"/>
        </w:rPr>
        <w:t xml:space="preserve"> % от установленного</w:t>
      </w:r>
      <w:bookmarkStart w:id="0" w:name="undefined"/>
      <w:r>
        <w:rPr>
          <w:rFonts w:ascii="PT Astra Serif" w:hAnsi="PT Astra Serif" w:cs="PT Astra Serif"/>
          <w:sz w:val="26"/>
          <w:szCs w:val="26"/>
        </w:rPr>
      </w:r>
      <w:bookmarkEnd w:id="0"/>
      <w:r>
        <w:rPr>
          <w:rFonts w:ascii="PT Astra Serif" w:hAnsi="PT Astra Serif" w:cs="PT Astra Serif"/>
          <w:sz w:val="26"/>
          <w:szCs w:val="26"/>
        </w:rPr>
        <w:t xml:space="preserve"> наибольший объем агротехнического ухода приходиться на </w:t>
      </w:r>
      <w:r>
        <w:rPr>
          <w:rFonts w:ascii="PT Astra Serif" w:hAnsi="PT Astra Serif" w:cs="PT Astra Serif"/>
          <w:sz w:val="26"/>
          <w:szCs w:val="26"/>
        </w:rPr>
        <w:t xml:space="preserve">Тегульдетское</w:t>
      </w:r>
      <w:r>
        <w:rPr>
          <w:rFonts w:ascii="PT Astra Serif" w:hAnsi="PT Astra Serif" w:cs="PT Astra Serif"/>
          <w:sz w:val="26"/>
          <w:szCs w:val="26"/>
        </w:rPr>
        <w:t xml:space="preserve">, Зырянское, </w:t>
      </w:r>
      <w:r>
        <w:rPr>
          <w:rFonts w:ascii="PT Astra Serif" w:hAnsi="PT Astra Serif" w:cs="PT Astra Serif"/>
          <w:sz w:val="26"/>
          <w:szCs w:val="26"/>
        </w:rPr>
        <w:t xml:space="preserve">Бакчарское</w:t>
      </w:r>
      <w:r>
        <w:rPr>
          <w:rFonts w:ascii="PT Astra Serif" w:hAnsi="PT Astra Serif" w:cs="PT Astra Serif"/>
          <w:sz w:val="26"/>
          <w:szCs w:val="26"/>
        </w:rPr>
        <w:t xml:space="preserve"> лесничество.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Компенсационное</w:t>
      </w:r>
      <w:r>
        <w:rPr>
          <w:rFonts w:ascii="PT Astra Serif" w:hAnsi="PT Astra Serif" w:cs="PT Astra Serif"/>
          <w:sz w:val="26"/>
          <w:szCs w:val="26"/>
        </w:rPr>
        <w:t xml:space="preserve"> лесовосстановлени</w:t>
      </w:r>
      <w:r>
        <w:rPr>
          <w:rFonts w:ascii="PT Astra Serif" w:hAnsi="PT Astra Serif" w:cs="PT Astra Serif"/>
          <w:sz w:val="26"/>
          <w:szCs w:val="26"/>
        </w:rPr>
        <w:t xml:space="preserve">е при плане 640 га с учетом просроченных обязательств выполнено на площади </w:t>
      </w:r>
      <w:r>
        <w:rPr>
          <w:rFonts w:ascii="PT Astra Serif" w:hAnsi="PT Astra Serif" w:cs="PT Astra Serif"/>
          <w:sz w:val="26"/>
          <w:szCs w:val="26"/>
        </w:rPr>
        <w:t xml:space="preserve">434</w:t>
      </w:r>
      <w:r>
        <w:rPr>
          <w:rFonts w:ascii="PT Astra Serif" w:hAnsi="PT Astra Serif" w:cs="PT Astra Serif"/>
          <w:sz w:val="26"/>
          <w:szCs w:val="26"/>
        </w:rPr>
        <w:t xml:space="preserve"> га или 67,8 %</w:t>
      </w:r>
      <w:r>
        <w:rPr>
          <w:rFonts w:ascii="PT Astra Serif" w:hAnsi="PT Astra Serif" w:cs="PT Astra Serif"/>
          <w:sz w:val="26"/>
          <w:szCs w:val="26"/>
        </w:rPr>
        <w:t xml:space="preserve"> от план. Основной объем выполнен на территории </w:t>
      </w:r>
      <w:r>
        <w:rPr>
          <w:rFonts w:ascii="PT Astra Serif" w:hAnsi="PT Astra Serif" w:cs="PT Astra Serif"/>
          <w:sz w:val="26"/>
          <w:szCs w:val="26"/>
        </w:rPr>
        <w:t xml:space="preserve">Чаинского</w:t>
      </w:r>
      <w:r>
        <w:rPr>
          <w:rFonts w:ascii="PT Astra Serif" w:hAnsi="PT Astra Serif" w:cs="PT Astra Serif"/>
          <w:sz w:val="26"/>
          <w:szCs w:val="26"/>
        </w:rPr>
        <w:t xml:space="preserve">, Первомайского, </w:t>
      </w:r>
      <w:r>
        <w:rPr>
          <w:rFonts w:ascii="PT Astra Serif" w:hAnsi="PT Astra Serif" w:cs="PT Astra Serif"/>
          <w:sz w:val="26"/>
          <w:szCs w:val="26"/>
        </w:rPr>
        <w:t xml:space="preserve">Бакчарского</w:t>
      </w:r>
      <w:r>
        <w:rPr>
          <w:rFonts w:ascii="PT Astra Serif" w:hAnsi="PT Astra Serif" w:cs="PT Astra Serif"/>
          <w:sz w:val="26"/>
          <w:szCs w:val="26"/>
        </w:rPr>
        <w:t xml:space="preserve"> лесничества. В настоящее время объем неисполненных просроченных обязательств составляет 244 га.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Мероприятия по ЛВ осуществляются </w:t>
      </w:r>
      <w:r>
        <w:rPr>
          <w:rFonts w:ascii="PT Astra Serif" w:hAnsi="PT Astra Serif" w:cs="PT Astra Serif"/>
          <w:sz w:val="26"/>
          <w:szCs w:val="26"/>
        </w:rPr>
        <w:t xml:space="preserve">только </w:t>
      </w:r>
      <w:r>
        <w:rPr>
          <w:rFonts w:ascii="PT Astra Serif" w:hAnsi="PT Astra Serif" w:cs="PT Astra Serif"/>
          <w:sz w:val="26"/>
          <w:szCs w:val="26"/>
        </w:rPr>
        <w:t xml:space="preserve">на </w:t>
      </w:r>
      <w:r>
        <w:rPr>
          <w:rFonts w:ascii="PT Astra Serif" w:hAnsi="PT Astra Serif" w:cs="PT Astra Serif"/>
          <w:sz w:val="26"/>
          <w:szCs w:val="26"/>
        </w:rPr>
        <w:t xml:space="preserve">основании</w:t>
      </w:r>
      <w:r>
        <w:rPr>
          <w:rFonts w:ascii="PT Astra Serif" w:hAnsi="PT Astra Serif" w:cs="PT Astra Serif"/>
          <w:sz w:val="26"/>
          <w:szCs w:val="26"/>
        </w:rPr>
        <w:t xml:space="preserve"> проекта ЛВ, с сентября 2022 года регион перешел на предоставление государственной услуги по приему проекта ЛВ через портал </w:t>
      </w:r>
      <w:r>
        <w:rPr>
          <w:rFonts w:ascii="PT Astra Serif" w:hAnsi="PT Astra Serif" w:cs="PT Astra Serif"/>
          <w:sz w:val="26"/>
          <w:szCs w:val="26"/>
        </w:rPr>
        <w:t xml:space="preserve">Госуслуг</w:t>
      </w:r>
      <w:r>
        <w:rPr>
          <w:rFonts w:ascii="PT Astra Serif" w:hAnsi="PT Astra Serif" w:cs="PT Astra Serif"/>
          <w:sz w:val="26"/>
          <w:szCs w:val="26"/>
        </w:rPr>
        <w:t xml:space="preserve">, за 2023 год лесничествами оказано таких услуг в </w:t>
      </w:r>
      <w:r>
        <w:rPr>
          <w:rFonts w:ascii="PT Astra Serif" w:hAnsi="PT Astra Serif" w:cs="PT Astra Serif"/>
          <w:b/>
          <w:sz w:val="26"/>
          <w:szCs w:val="26"/>
        </w:rPr>
        <w:t xml:space="preserve">количестве 4 </w:t>
      </w:r>
      <w:r>
        <w:rPr>
          <w:rFonts w:ascii="PT Astra Serif" w:hAnsi="PT Astra Serif" w:cs="PT Astra Serif"/>
          <w:b/>
          <w:sz w:val="26"/>
          <w:szCs w:val="26"/>
        </w:rPr>
        <w:t xml:space="preserve">723</w:t>
      </w:r>
      <w:r>
        <w:rPr>
          <w:rFonts w:ascii="PT Astra Serif" w:hAnsi="PT Astra Serif" w:cs="PT Astra Serif"/>
          <w:b/>
          <w:sz w:val="26"/>
          <w:szCs w:val="26"/>
        </w:rPr>
        <w:t xml:space="preserve"> шт., это только по проектам</w:t>
      </w:r>
      <w:r>
        <w:rPr>
          <w:rFonts w:ascii="PT Astra Serif" w:hAnsi="PT Astra Serif" w:cs="PT Astra Serif"/>
          <w:b/>
          <w:sz w:val="26"/>
          <w:szCs w:val="26"/>
        </w:rPr>
        <w:t xml:space="preserve">.!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Хотелось бы отметить</w:t>
      </w:r>
      <w:r>
        <w:rPr>
          <w:rFonts w:ascii="PT Astra Serif" w:hAnsi="PT Astra Serif" w:cs="PT Astra Serif"/>
          <w:sz w:val="26"/>
          <w:szCs w:val="26"/>
        </w:rPr>
        <w:t xml:space="preserve">, еще один немаловажный показатель в</w:t>
      </w:r>
      <w:r>
        <w:rPr>
          <w:rFonts w:ascii="PT Astra Serif" w:hAnsi="PT Astra Serif" w:cs="PT Astra Serif"/>
          <w:sz w:val="26"/>
          <w:szCs w:val="26"/>
        </w:rPr>
        <w:t xml:space="preserve"> воспроизводстве лесов </w:t>
      </w:r>
      <w:r>
        <w:rPr>
          <w:rFonts w:ascii="PT Astra Serif" w:hAnsi="PT Astra Serif" w:cs="PT Astra Serif"/>
          <w:sz w:val="26"/>
          <w:szCs w:val="26"/>
        </w:rPr>
        <w:t xml:space="preserve">который является одними из критериев оценки эффективности деятельности органа власти это отнесение земель, предназначенных для ЛВ в покрытые лесом земли - 44,3 тыс. га, что больше </w:t>
      </w:r>
      <w:r>
        <w:rPr>
          <w:rFonts w:ascii="PT Astra Serif" w:hAnsi="PT Astra Serif" w:cs="PT Astra Serif"/>
          <w:sz w:val="26"/>
          <w:szCs w:val="26"/>
        </w:rPr>
        <w:t xml:space="preserve">на 20,4 </w:t>
      </w:r>
      <w:r>
        <w:rPr>
          <w:rFonts w:ascii="PT Astra Serif" w:hAnsi="PT Astra Serif" w:cs="PT Astra Serif"/>
          <w:sz w:val="26"/>
          <w:szCs w:val="26"/>
        </w:rPr>
        <w:t xml:space="preserve">тыс</w:t>
      </w:r>
      <w:r>
        <w:rPr>
          <w:rFonts w:ascii="PT Astra Serif" w:hAnsi="PT Astra Serif" w:cs="PT Astra Serif"/>
          <w:sz w:val="26"/>
          <w:szCs w:val="26"/>
        </w:rPr>
        <w:t xml:space="preserve">.г</w:t>
      </w:r>
      <w:r>
        <w:rPr>
          <w:rFonts w:ascii="PT Astra Serif" w:hAnsi="PT Astra Serif" w:cs="PT Astra Serif"/>
          <w:sz w:val="26"/>
          <w:szCs w:val="26"/>
        </w:rPr>
        <w:t xml:space="preserve">а</w:t>
      </w:r>
      <w:r>
        <w:rPr>
          <w:rFonts w:ascii="PT Astra Serif" w:hAnsi="PT Astra Serif" w:cs="PT Astra Serif"/>
          <w:sz w:val="26"/>
          <w:szCs w:val="26"/>
        </w:rPr>
        <w:t xml:space="preserve"> больше че</w:t>
      </w:r>
      <w:r>
        <w:rPr>
          <w:rFonts w:ascii="PT Astra Serif" w:hAnsi="PT Astra Serif" w:cs="PT Astra Serif"/>
          <w:sz w:val="26"/>
          <w:szCs w:val="26"/>
        </w:rPr>
        <w:t xml:space="preserve">м</w:t>
      </w:r>
      <w:r>
        <w:rPr>
          <w:rFonts w:ascii="PT Astra Serif" w:hAnsi="PT Astra Serif" w:cs="PT Astra Serif"/>
          <w:sz w:val="26"/>
          <w:szCs w:val="26"/>
        </w:rPr>
        <w:t xml:space="preserve"> в 2022 году</w:t>
      </w:r>
      <w:r>
        <w:rPr>
          <w:rFonts w:ascii="PT Astra Serif" w:hAnsi="PT Astra Serif" w:cs="PT Astra Serif"/>
          <w:sz w:val="26"/>
          <w:szCs w:val="26"/>
        </w:rPr>
        <w:t xml:space="preserve">. Данн</w:t>
      </w:r>
      <w:r>
        <w:rPr>
          <w:rFonts w:ascii="PT Astra Serif" w:hAnsi="PT Astra Serif" w:cs="PT Astra Serif"/>
          <w:sz w:val="26"/>
          <w:szCs w:val="26"/>
        </w:rPr>
        <w:t xml:space="preserve">ое значение</w:t>
      </w:r>
      <w:r>
        <w:rPr>
          <w:rFonts w:ascii="PT Astra Serif" w:hAnsi="PT Astra Serif" w:cs="PT Astra Serif"/>
          <w:sz w:val="26"/>
          <w:szCs w:val="26"/>
        </w:rPr>
        <w:t xml:space="preserve"> показател</w:t>
      </w:r>
      <w:r>
        <w:rPr>
          <w:rFonts w:ascii="PT Astra Serif" w:hAnsi="PT Astra Serif" w:cs="PT Astra Serif"/>
          <w:sz w:val="26"/>
          <w:szCs w:val="26"/>
        </w:rPr>
        <w:t xml:space="preserve">я </w:t>
      </w:r>
      <w:r>
        <w:rPr>
          <w:rFonts w:ascii="PT Astra Serif" w:hAnsi="PT Astra Serif" w:cs="PT Astra Serif"/>
          <w:sz w:val="26"/>
          <w:szCs w:val="26"/>
        </w:rPr>
        <w:t xml:space="preserve">позволить удержать лесистость региона.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 2024 год план по лесовосстановлению составляет </w:t>
      </w:r>
      <w:r>
        <w:rPr>
          <w:rFonts w:ascii="PT Astra Serif" w:hAnsi="PT Astra Serif" w:cs="PT Astra Serif"/>
          <w:b/>
          <w:sz w:val="26"/>
          <w:szCs w:val="26"/>
        </w:rPr>
        <w:t xml:space="preserve">42,7</w:t>
      </w:r>
      <w:r>
        <w:rPr>
          <w:rFonts w:ascii="PT Astra Serif" w:hAnsi="PT Astra Serif" w:cs="PT Astra Serif"/>
          <w:b/>
          <w:sz w:val="26"/>
          <w:szCs w:val="26"/>
        </w:rPr>
        <w:t xml:space="preserve">44</w:t>
      </w:r>
      <w:r>
        <w:rPr>
          <w:rFonts w:ascii="PT Astra Serif" w:hAnsi="PT Astra Serif" w:cs="PT Astra Serif"/>
          <w:b/>
          <w:sz w:val="26"/>
          <w:szCs w:val="26"/>
        </w:rPr>
        <w:t xml:space="preserve"> тыс. га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 них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искусственное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–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2,140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тыс. га, комбинированное – 1,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430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тыс. га 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естественное лесовосстановление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–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39,174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тыс. га.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2024 году на тер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ритории Томской области хозяйственно-возможный объем заготовки семян лесных растений по кедру сибирскому составлял 4,227 тонн, Урожай семян с улучшенными наследственными свойствами на объектах лесного семеноводства в 2024 году запланирован в объеме 250 кг.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 итогам 2023 года в регионе у арендаторов лесных участков, осуществляющих искусственное лесовосстановление путем посева семенами лесных растений и выращивание посадочного материала на хранении 6 177,8 кг, из них 6000 кг кедр и 177,8 кг сосны обыкновенной.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426" w:right="850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Segoe UI">
    <w:panose1 w:val="020B0502040504020204"/>
  </w:font>
  <w:font w:name="Cambria">
    <w:panose1 w:val="02040503050406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64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4"/>
    <w:next w:val="60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05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4"/>
    <w:next w:val="60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5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4"/>
    <w:next w:val="60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5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4"/>
    <w:next w:val="60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05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4"/>
    <w:next w:val="60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5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4"/>
    <w:next w:val="60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5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4"/>
    <w:next w:val="60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5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4"/>
    <w:next w:val="60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5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4"/>
    <w:next w:val="60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5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4"/>
    <w:next w:val="60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5"/>
    <w:link w:val="33"/>
    <w:uiPriority w:val="10"/>
    <w:rPr>
      <w:sz w:val="48"/>
      <w:szCs w:val="48"/>
    </w:rPr>
  </w:style>
  <w:style w:type="character" w:styleId="36">
    <w:name w:val="Subtitle Char"/>
    <w:basedOn w:val="605"/>
    <w:link w:val="612"/>
    <w:uiPriority w:val="11"/>
    <w:rPr>
      <w:sz w:val="24"/>
      <w:szCs w:val="24"/>
    </w:rPr>
  </w:style>
  <w:style w:type="paragraph" w:styleId="37">
    <w:name w:val="Quote"/>
    <w:basedOn w:val="604"/>
    <w:next w:val="60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4"/>
    <w:next w:val="60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5"/>
    <w:link w:val="41"/>
    <w:uiPriority w:val="99"/>
  </w:style>
  <w:style w:type="paragraph" w:styleId="43">
    <w:name w:val="Footer"/>
    <w:basedOn w:val="60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5"/>
    <w:link w:val="43"/>
    <w:uiPriority w:val="99"/>
  </w:style>
  <w:style w:type="paragraph" w:styleId="45">
    <w:name w:val="Caption"/>
    <w:basedOn w:val="604"/>
    <w:next w:val="6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5"/>
    <w:uiPriority w:val="99"/>
    <w:unhideWhenUsed/>
    <w:rPr>
      <w:vertAlign w:val="superscript"/>
    </w:rPr>
  </w:style>
  <w:style w:type="paragraph" w:styleId="177">
    <w:name w:val="endnote text"/>
    <w:basedOn w:val="60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5"/>
    <w:uiPriority w:val="99"/>
    <w:semiHidden/>
    <w:unhideWhenUsed/>
    <w:rPr>
      <w:vertAlign w:val="superscript"/>
    </w:rPr>
  </w:style>
  <w:style w:type="paragraph" w:styleId="180">
    <w:name w:val="toc 1"/>
    <w:basedOn w:val="604"/>
    <w:next w:val="60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4"/>
    <w:next w:val="60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4"/>
    <w:next w:val="60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4"/>
    <w:next w:val="60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4"/>
    <w:next w:val="60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4"/>
    <w:next w:val="60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4"/>
    <w:next w:val="60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4"/>
    <w:next w:val="60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4"/>
    <w:next w:val="60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4"/>
    <w:next w:val="604"/>
    <w:uiPriority w:val="99"/>
    <w:unhideWhenUsed/>
    <w:pPr>
      <w:spacing w:after="0" w:afterAutospacing="0"/>
    </w:pPr>
  </w:style>
  <w:style w:type="paragraph" w:styleId="604" w:default="1">
    <w:name w:val="Normal"/>
    <w:qFormat/>
  </w:style>
  <w:style w:type="character" w:styleId="605" w:default="1">
    <w:name w:val="Default Paragraph Font"/>
    <w:uiPriority w:val="1"/>
    <w:semiHidden/>
    <w:unhideWhenUsed/>
  </w:style>
  <w:style w:type="table" w:styleId="6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7" w:default="1">
    <w:name w:val="No List"/>
    <w:uiPriority w:val="99"/>
    <w:semiHidden/>
    <w:unhideWhenUsed/>
  </w:style>
  <w:style w:type="paragraph" w:styleId="608" w:customStyle="1">
    <w:name w:val="Исполнитель"/>
    <w:basedOn w:val="604"/>
    <w:pPr>
      <w:ind w:left="30"/>
      <w:jc w:val="center"/>
      <w:spacing w:after="0" w:line="240" w:lineRule="auto"/>
    </w:pPr>
    <w:rPr>
      <w:rFonts w:ascii="Times New Roman" w:hAnsi="Times New Roman" w:eastAsia="Times New Roman" w:cs="Times New Roman"/>
      <w:sz w:val="20"/>
      <w:szCs w:val="24"/>
      <w:lang w:eastAsia="ru-RU"/>
    </w:rPr>
  </w:style>
  <w:style w:type="paragraph" w:styleId="609">
    <w:name w:val="List Paragraph"/>
    <w:basedOn w:val="604"/>
    <w:uiPriority w:val="34"/>
    <w:qFormat/>
    <w:pPr>
      <w:contextualSpacing/>
      <w:ind w:left="720"/>
    </w:pPr>
  </w:style>
  <w:style w:type="paragraph" w:styleId="610">
    <w:name w:val="Plain Text"/>
    <w:basedOn w:val="604"/>
    <w:link w:val="611"/>
    <w:uiPriority w:val="99"/>
    <w:semiHidden/>
    <w:unhideWhenUsed/>
    <w:pPr>
      <w:spacing w:after="0" w:line="240" w:lineRule="auto"/>
    </w:pPr>
    <w:rPr>
      <w:rFonts w:ascii="Calibri" w:hAnsi="Calibri"/>
      <w:sz w:val="21"/>
      <w:szCs w:val="21"/>
    </w:rPr>
  </w:style>
  <w:style w:type="character" w:styleId="611" w:customStyle="1">
    <w:name w:val="Текст Знак"/>
    <w:basedOn w:val="605"/>
    <w:link w:val="610"/>
    <w:uiPriority w:val="99"/>
    <w:semiHidden/>
    <w:rPr>
      <w:rFonts w:ascii="Calibri" w:hAnsi="Calibri"/>
      <w:sz w:val="21"/>
      <w:szCs w:val="21"/>
    </w:rPr>
  </w:style>
  <w:style w:type="paragraph" w:styleId="612">
    <w:name w:val="Subtitle"/>
    <w:basedOn w:val="604"/>
    <w:next w:val="604"/>
    <w:link w:val="613"/>
    <w:uiPriority w:val="11"/>
    <w:qFormat/>
    <w:pPr>
      <w:numPr>
        <w:ilvl w:val="1"/>
      </w:numPr>
    </w:pPr>
    <w:rPr>
      <w:rFonts w:ascii="Cambria" w:hAnsi="Cambria" w:eastAsia="Cambria" w:cs="Cambria"/>
      <w:i/>
      <w:iCs/>
      <w:color w:val="4f81bd" w:themeColor="accent1"/>
      <w:spacing w:val="15"/>
      <w:sz w:val="24"/>
      <w:szCs w:val="24"/>
    </w:rPr>
  </w:style>
  <w:style w:type="character" w:styleId="613" w:customStyle="1">
    <w:name w:val="Подзаголовок Знак"/>
    <w:basedOn w:val="605"/>
    <w:link w:val="612"/>
    <w:uiPriority w:val="11"/>
    <w:rPr>
      <w:rFonts w:ascii="Cambria" w:hAnsi="Cambria" w:eastAsia="Cambria" w:cs="Cambria"/>
      <w:i/>
      <w:iCs/>
      <w:color w:val="4f81bd" w:themeColor="accent1"/>
      <w:spacing w:val="15"/>
      <w:sz w:val="24"/>
      <w:szCs w:val="24"/>
    </w:rPr>
  </w:style>
  <w:style w:type="paragraph" w:styleId="614">
    <w:name w:val="Balloon Text"/>
    <w:basedOn w:val="604"/>
    <w:link w:val="61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15" w:customStyle="1">
    <w:name w:val="Текст выноски Знак"/>
    <w:basedOn w:val="605"/>
    <w:link w:val="61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Николаевна Парахина</dc:creator>
  <cp:revision>6</cp:revision>
  <dcterms:created xsi:type="dcterms:W3CDTF">2023-02-27T08:59:00Z</dcterms:created>
  <dcterms:modified xsi:type="dcterms:W3CDTF">2024-04-05T04:21:20Z</dcterms:modified>
</cp:coreProperties>
</file>