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0" w:right="0" w:firstLine="0"/>
        <w:jc w:val="center"/>
        <w:spacing w:after="0" w:line="240" w:lineRule="auto"/>
        <w:rPr>
          <w:rFonts w:ascii="PT Astra Serif" w:hAnsi="PT Astra Serif" w:cs="PT Astra Serif"/>
          <w:b/>
          <w:bCs/>
          <w:sz w:val="26"/>
          <w:szCs w:val="26"/>
          <w:highlight w:val="white"/>
        </w:rPr>
      </w:pPr>
      <w:r>
        <w:rPr>
          <w:rFonts w:ascii="PT Astra Serif" w:hAnsi="PT Astra Serif" w:cs="PT Astra Serif"/>
          <w:b/>
          <w:bCs/>
          <w:sz w:val="26"/>
          <w:szCs w:val="26"/>
          <w:highlight w:val="white"/>
        </w:rPr>
        <w:t xml:space="preserve">ПРОЕКТ</w:t>
      </w:r>
      <w:r>
        <w:rPr>
          <w:rFonts w:ascii="PT Astra Serif" w:hAnsi="PT Astra Serif" w:cs="PT Astra Serif"/>
          <w:highlight w:val="white"/>
        </w:rPr>
      </w:r>
      <w:r/>
    </w:p>
    <w:p>
      <w:pPr>
        <w:ind w:left="0" w:right="0" w:firstLine="0"/>
        <w:jc w:val="center"/>
        <w:spacing w:after="0" w:line="240" w:lineRule="auto"/>
        <w:rPr>
          <w:rFonts w:ascii="PT Astra Serif" w:hAnsi="PT Astra Serif" w:cs="PT Astra Serif"/>
          <w:b/>
          <w:bCs/>
          <w:sz w:val="26"/>
          <w:szCs w:val="26"/>
          <w:highlight w:val="white"/>
        </w:rPr>
      </w:pPr>
      <w:r>
        <w:rPr>
          <w:rFonts w:ascii="PT Astra Serif" w:hAnsi="PT Astra Serif" w:eastAsia="Times New Roman" w:cs="PT Astra Serif"/>
          <w:b/>
          <w:bCs/>
          <w:sz w:val="26"/>
          <w:szCs w:val="26"/>
          <w:highlight w:val="white"/>
          <w:lang w:eastAsia="ru-RU"/>
        </w:rPr>
      </w:r>
      <w:r>
        <w:rPr>
          <w:rFonts w:ascii="PT Astra Serif" w:hAnsi="PT Astra Serif" w:cs="PT Astra Serif"/>
          <w:highlight w:val="white"/>
        </w:rPr>
      </w:r>
      <w:r/>
    </w:p>
    <w:p>
      <w:pPr>
        <w:ind w:left="0" w:right="0" w:firstLine="0"/>
        <w:jc w:val="center"/>
        <w:spacing w:after="0" w:line="240" w:lineRule="auto"/>
        <w:rPr>
          <w:rFonts w:ascii="PT Astra Serif" w:hAnsi="PT Astra Serif" w:cs="PT Astra Serif"/>
          <w:b/>
          <w:bCs/>
          <w:sz w:val="26"/>
          <w:szCs w:val="26"/>
          <w:highlight w:val="white"/>
        </w:rPr>
      </w:pPr>
      <w:r>
        <w:rPr>
          <w:rFonts w:ascii="PT Astra Serif" w:hAnsi="PT Astra Serif" w:eastAsia="Times New Roman" w:cs="PT Astra Serif"/>
          <w:b/>
          <w:sz w:val="26"/>
          <w:szCs w:val="26"/>
          <w:highlight w:val="white"/>
          <w:lang w:eastAsia="ru-RU"/>
        </w:rPr>
        <w:t xml:space="preserve">Программа профилактики </w:t>
      </w:r>
      <w:r>
        <w:rPr>
          <w:rFonts w:ascii="PT Astra Serif" w:hAnsi="PT Astra Serif" w:eastAsia="Times New Roman" w:cs="PT Astra Serif"/>
          <w:b/>
          <w:bCs/>
          <w:sz w:val="26"/>
          <w:szCs w:val="26"/>
          <w:highlight w:val="white"/>
          <w:lang w:eastAsia="ru-RU"/>
        </w:rPr>
        <w:t xml:space="preserve">рисков причинения вреда (ущерба)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Times New Roman" w:cs="PT Astra Serif"/>
          <w:b/>
          <w:bCs/>
          <w:sz w:val="26"/>
          <w:szCs w:val="26"/>
          <w:highlight w:val="white"/>
          <w:lang w:eastAsia="ru-RU"/>
        </w:rPr>
        <w:t xml:space="preserve">охраняемым законом ценностям </w:t>
      </w:r>
      <w:r>
        <w:rPr>
          <w:rFonts w:ascii="PT Astra Serif" w:hAnsi="PT Astra Serif" w:eastAsia="Times New Roman" w:cs="PT Astra Serif"/>
          <w:b/>
          <w:sz w:val="26"/>
          <w:szCs w:val="26"/>
          <w:highlight w:val="white"/>
          <w:lang w:eastAsia="ru-RU"/>
        </w:rPr>
        <w:t xml:space="preserve">на 2025 год</w:t>
      </w:r>
      <w:r>
        <w:rPr>
          <w:rFonts w:ascii="PT Astra Serif" w:hAnsi="PT Astra Serif" w:eastAsia="Times New Roman" w:cs="PT Astra Serif"/>
          <w:b/>
          <w:bCs/>
          <w:sz w:val="26"/>
          <w:szCs w:val="26"/>
          <w:highlight w:val="white"/>
        </w:rPr>
        <w:t xml:space="preserve"> при осуществлении </w:t>
      </w:r>
      <w:r>
        <w:rPr>
          <w:rFonts w:ascii="PT Astra Serif" w:hAnsi="PT Astra Serif" w:eastAsia="Times New Roman" w:cs="PT Astra Serif"/>
          <w:b/>
          <w:bCs/>
          <w:sz w:val="26"/>
          <w:szCs w:val="26"/>
          <w:highlight w:val="white"/>
        </w:rPr>
        <w:t xml:space="preserve">федерального государственного лесного контроля (надзора) </w:t>
      </w:r>
      <w:r>
        <w:rPr>
          <w:rFonts w:ascii="PT Astra Serif" w:hAnsi="PT Astra Serif" w:eastAsia="Times New Roman" w:cs="PT Astra Serif"/>
          <w:b/>
          <w:bCs/>
          <w:sz w:val="26"/>
          <w:szCs w:val="26"/>
          <w:highlight w:val="white"/>
        </w:rPr>
        <w:t xml:space="preserve">на землях лесного фонда </w:t>
        <w:br/>
      </w:r>
      <w:r>
        <w:rPr>
          <w:rFonts w:ascii="PT Astra Serif" w:hAnsi="PT Astra Serif" w:eastAsia="Times New Roman" w:cs="PT Astra Serif"/>
          <w:b/>
          <w:bCs/>
          <w:sz w:val="26"/>
          <w:szCs w:val="26"/>
          <w:highlight w:val="white"/>
        </w:rPr>
        <w:t xml:space="preserve">на территории Томской области</w:t>
      </w:r>
      <w:r>
        <w:rPr>
          <w:rFonts w:ascii="PT Astra Serif" w:hAnsi="PT Astra Serif" w:eastAsia="Times New Roman" w:cs="PT Astra Serif"/>
          <w:b/>
          <w:bCs/>
          <w:sz w:val="26"/>
          <w:szCs w:val="26"/>
          <w:highlight w:val="white"/>
          <w:lang w:eastAsia="ru-RU"/>
        </w:rPr>
      </w:r>
      <w:r/>
    </w:p>
    <w:p>
      <w:pPr>
        <w:ind w:left="0" w:right="0" w:firstLine="0"/>
        <w:jc w:val="center"/>
        <w:spacing w:after="0" w:line="240" w:lineRule="auto"/>
        <w:rPr>
          <w:rFonts w:ascii="PT Astra Serif" w:hAnsi="PT Astra Serif" w:cs="PT Astra Serif"/>
          <w:b/>
          <w:bCs/>
          <w:sz w:val="26"/>
          <w:szCs w:val="26"/>
          <w:highlight w:val="white"/>
        </w:rPr>
      </w:pPr>
      <w:r>
        <w:rPr>
          <w:rFonts w:ascii="PT Astra Serif" w:hAnsi="PT Astra Serif" w:cs="PT Astra Serif"/>
          <w:b/>
          <w:bCs/>
          <w:sz w:val="26"/>
          <w:szCs w:val="26"/>
          <w:highlight w:val="white"/>
        </w:rPr>
      </w:r>
      <w:r>
        <w:rPr>
          <w:rFonts w:ascii="PT Astra Serif" w:hAnsi="PT Astra Serif" w:cs="PT Astra Serif"/>
          <w:highlight w:val="white"/>
        </w:rPr>
      </w:r>
      <w:r/>
    </w:p>
    <w:p>
      <w:pPr>
        <w:ind w:left="0" w:right="0" w:firstLine="0"/>
        <w:jc w:val="center"/>
        <w:spacing w:after="0" w:line="240" w:lineRule="auto"/>
        <w:rPr>
          <w:rFonts w:ascii="PT Astra Serif" w:hAnsi="PT Astra Serif" w:cs="PT Astra Serif"/>
          <w:b/>
          <w:bCs/>
          <w:sz w:val="26"/>
          <w:szCs w:val="26"/>
          <w:highlight w:val="white"/>
        </w:rPr>
      </w:pPr>
      <w:r>
        <w:rPr>
          <w:rFonts w:ascii="PT Astra Serif" w:hAnsi="PT Astra Serif" w:cs="PT Astra Serif"/>
          <w:b/>
          <w:bCs/>
          <w:sz w:val="26"/>
          <w:szCs w:val="26"/>
          <w:highlight w:val="white"/>
        </w:rPr>
      </w:r>
      <w:r>
        <w:rPr>
          <w:rFonts w:ascii="PT Astra Serif" w:hAnsi="PT Astra Serif" w:cs="PT Astra Serif"/>
          <w:highlight w:val="white"/>
        </w:rPr>
      </w:r>
      <w:r/>
    </w:p>
    <w:p>
      <w:pPr>
        <w:ind w:left="0" w:right="0" w:firstLine="0"/>
        <w:jc w:val="center"/>
        <w:spacing w:after="0" w:line="240" w:lineRule="auto"/>
        <w:rPr>
          <w:rFonts w:ascii="PT Astra Serif" w:hAnsi="PT Astra Serif" w:cs="PT Astra Serif"/>
          <w:b/>
          <w:bCs/>
          <w:color w:val="000000" w:themeColor="text1"/>
          <w:sz w:val="26"/>
          <w:szCs w:val="26"/>
          <w:highlight w:val="white"/>
        </w:rPr>
      </w:pPr>
      <w:r>
        <w:rPr>
          <w:rFonts w:ascii="PT Astra Serif" w:hAnsi="PT Astra Serif" w:eastAsia="Times New Roman" w:cs="PT Astra Serif"/>
          <w:b/>
          <w:bCs/>
          <w:color w:val="000000" w:themeColor="text1"/>
          <w:sz w:val="26"/>
          <w:szCs w:val="26"/>
          <w:highlight w:val="white"/>
        </w:rPr>
        <w:t xml:space="preserve">I</w:t>
      </w:r>
      <w:r>
        <w:rPr>
          <w:rFonts w:ascii="PT Astra Serif" w:hAnsi="PT Astra Serif" w:cs="PT Astra Serif"/>
          <w:b/>
          <w:bCs/>
          <w:color w:val="000000" w:themeColor="text1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Times New Roman" w:cs="PT Astra Serif"/>
          <w:b/>
          <w:bCs/>
          <w:color w:val="000000" w:themeColor="text1"/>
          <w:sz w:val="26"/>
          <w:szCs w:val="26"/>
          <w:highlight w:val="white"/>
        </w:rPr>
        <w:t xml:space="preserve">Общие положения</w:t>
      </w:r>
      <w:r>
        <w:rPr>
          <w:rFonts w:ascii="PT Astra Serif" w:hAnsi="PT Astra Serif" w:eastAsia="Times New Roman" w:cs="PT Astra Serif"/>
          <w:b/>
          <w:bCs/>
          <w:color w:val="000000" w:themeColor="text1"/>
          <w:sz w:val="26"/>
          <w:szCs w:val="26"/>
          <w:highlight w:val="white"/>
        </w:rPr>
      </w:r>
      <w:r/>
    </w:p>
    <w:p>
      <w:pPr>
        <w:ind w:left="0" w:firstLine="0"/>
        <w:jc w:val="center"/>
        <w:spacing w:after="0" w:line="240" w:lineRule="auto"/>
        <w:rPr>
          <w:rFonts w:ascii="PT Astra Serif" w:hAnsi="PT Astra Serif" w:cs="PT Astra Serif"/>
          <w:b/>
          <w:bCs/>
          <w:color w:val="000000" w:themeColor="text1"/>
          <w:sz w:val="26"/>
          <w:szCs w:val="26"/>
          <w:highlight w:val="white"/>
        </w:rPr>
      </w:pPr>
      <w:r>
        <w:rPr>
          <w:rFonts w:ascii="PT Astra Serif" w:hAnsi="PT Astra Serif" w:cs="PT Astra Serif"/>
          <w:b/>
          <w:bCs/>
          <w:color w:val="000000" w:themeColor="text1"/>
          <w:sz w:val="26"/>
          <w:szCs w:val="26"/>
          <w:highlight w:val="white"/>
        </w:rPr>
      </w:r>
      <w:r>
        <w:rPr>
          <w:rFonts w:ascii="PT Astra Serif" w:hAnsi="PT Astra Serif" w:cs="PT Astra Serif"/>
          <w:b/>
          <w:bCs/>
          <w:highlight w:val="white"/>
        </w:rPr>
      </w:r>
      <w:r/>
    </w:p>
    <w:p>
      <w:pPr>
        <w:ind w:left="0" w:right="0" w:firstLine="0"/>
        <w:jc w:val="both"/>
        <w:spacing w:before="0" w:after="0" w:line="240" w:lineRule="auto"/>
        <w:shd w:val="clear" w:color="ffffff" w:fill="ffffff"/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ab/>
        <w:t xml:space="preserve">Программа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 профилактики 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рисков 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причинения</w:t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вреда 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(ущерба) 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охраняемым законом ценностям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(далее – 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Программа профилактики рисков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) 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устанавливает порядок проведения профилактических мероприятий,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направленных на предупреждение нарушений обязательных требований и (или) 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причинения вреда (ущерба) лесам </w:t>
        <w:br/>
        <w:t xml:space="preserve">и находящимся в них природным объектам</w:t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вследствие нарушения лесного законодательства, соблюдение которых</w:t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оценивается Департаментом лесного хозяйства Томской области</w:t>
      </w:r>
      <w:r>
        <w:rPr>
          <w:rFonts w:ascii="PT Astra Serif" w:hAnsi="PT Astra Serif" w:eastAsia="Times New Roman" w:cs="PT Astra Serif"/>
          <w:color w:val="000000" w:themeColor="text1"/>
          <w:sz w:val="26"/>
          <w:szCs w:val="26"/>
          <w:highlight w:val="white"/>
          <w:lang w:eastAsia="ru-RU"/>
        </w:rPr>
        <w:t xml:space="preserve"> </w:t>
      </w:r>
      <w:r>
        <w:rPr>
          <w:rFonts w:ascii="PT Astra Serif" w:hAnsi="PT Astra Serif" w:eastAsia="Times New Roman" w:cs="PT Astra Serif"/>
          <w:color w:val="000000" w:themeColor="text1"/>
          <w:sz w:val="26"/>
          <w:szCs w:val="26"/>
          <w:highlight w:val="white"/>
          <w:lang w:eastAsia="ru-RU"/>
        </w:rPr>
        <w:t xml:space="preserve">(далее – Департамент)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при осуществлении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 федерального государственного лесного контроля 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(надзора) 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(далее – Государственный лесной контроль)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 на землях лесного фонда на территории Томской области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.</w:t>
      </w:r>
      <w:r>
        <w:rPr>
          <w:rFonts w:ascii="PT Astra Serif" w:hAnsi="PT Astra Serif" w:cs="PT Astra Serif"/>
          <w:highlight w:val="white"/>
        </w:rPr>
      </w:r>
      <w:r/>
    </w:p>
    <w:p>
      <w:pPr>
        <w:ind w:left="0" w:right="0" w:firstLine="0"/>
        <w:jc w:val="both"/>
        <w:spacing w:before="0" w:after="0" w:line="240" w:lineRule="auto"/>
        <w:shd w:val="clear" w:color="ffffff" w:fill="ffffff"/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ab/>
        <w:t xml:space="preserve">На территории Томской области Департамент осуществляет Государственный лесной контроль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 направленый за</w:t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соблюдением юридическими лицами, индивидуальными предпринимателями и 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гражданами обязательных требований </w:t>
        <w:br/>
        <w:t xml:space="preserve">в области лесных отношений, 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установленных Лесным кодексом Российской Федерации от 04.12.2006 № 200-</w:t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ФЗ и принимаемыми в соответствии с ним иными нормативными правовыми 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актами Российской Федерации, законами и иными нормативными правовыми 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актами субъектов Российской Федерации, </w:t>
        <w:br/>
        <w:t xml:space="preserve">при использовании, охране, защите 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и воспроизводстве лесов, лесоразведении.</w:t>
      </w:r>
      <w:r>
        <w:rPr>
          <w:rFonts w:ascii="PT Astra Serif" w:hAnsi="PT Astra Serif" w:cs="PT Astra Serif"/>
          <w:highlight w:val="white"/>
        </w:rPr>
      </w:r>
      <w:r/>
    </w:p>
    <w:p>
      <w:pPr>
        <w:ind w:left="0" w:right="0" w:firstLine="0"/>
        <w:jc w:val="both"/>
        <w:spacing w:before="0" w:after="0" w:line="240" w:lineRule="auto"/>
        <w:shd w:val="clear" w:color="ffffff" w:fill="ffffff"/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ab/>
        <w:t xml:space="preserve">Государственный лесной контроль на территории Томской области осуществляется посредством:</w:t>
      </w:r>
      <w:r>
        <w:rPr>
          <w:rFonts w:ascii="PT Astra Serif" w:hAnsi="PT Astra Serif" w:cs="PT Astra Serif"/>
          <w:highlight w:val="white"/>
        </w:rPr>
      </w:r>
      <w:r/>
    </w:p>
    <w:p>
      <w:pPr>
        <w:ind w:left="0" w:right="0" w:firstLine="709"/>
        <w:jc w:val="both"/>
        <w:spacing w:before="0" w:after="0" w:line="240" w:lineRule="auto"/>
        <w:shd w:val="clear" w:color="ffffff" w:fill="ffffff"/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- организации и проведения проверок выполнения юридическими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лицами, индивидуальными предпринимателями и гражданами обязательных 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требований </w:t>
        <w:br/>
        <w:t xml:space="preserve">в области лесных отношений;</w:t>
      </w:r>
      <w:r>
        <w:rPr>
          <w:rFonts w:ascii="PT Astra Serif" w:hAnsi="PT Astra Serif" w:cs="PT Astra Serif"/>
          <w:highlight w:val="white"/>
        </w:rPr>
      </w:r>
      <w:r/>
    </w:p>
    <w:p>
      <w:pPr>
        <w:ind w:left="0" w:right="0" w:firstLine="709"/>
        <w:jc w:val="both"/>
        <w:spacing w:before="0" w:after="0" w:line="240" w:lineRule="auto"/>
        <w:shd w:val="clear" w:color="ffffff" w:fill="ffffff"/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- принятия предусмотренных законодательством Российской Федерации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мер </w:t>
        <w:br/>
        <w:t xml:space="preserve">по пресечению и (или) устранению выявленных нарушений, а также 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систематического наблюдения за исполнением обязательных требований;</w:t>
      </w:r>
      <w:r>
        <w:rPr>
          <w:rFonts w:ascii="PT Astra Serif" w:hAnsi="PT Astra Serif" w:cs="PT Astra Serif"/>
          <w:highlight w:val="white"/>
        </w:rPr>
      </w:r>
      <w:r/>
    </w:p>
    <w:p>
      <w:pPr>
        <w:ind w:left="0" w:right="0" w:firstLine="709"/>
        <w:jc w:val="both"/>
        <w:spacing w:before="0" w:after="0" w:line="240" w:lineRule="auto"/>
        <w:shd w:val="clear" w:color="ffffff" w:fill="ffffff"/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- организации и проведения мероприятий по профилактике рисков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причинения вреда (ущерба) охраняемым законом ценностям;</w:t>
      </w:r>
      <w:r>
        <w:rPr>
          <w:rFonts w:ascii="PT Astra Serif" w:hAnsi="PT Astra Serif" w:cs="PT Astra Serif"/>
          <w:highlight w:val="white"/>
        </w:rPr>
      </w:r>
      <w:r/>
    </w:p>
    <w:p>
      <w:pPr>
        <w:ind w:left="0" w:right="0" w:firstLine="709"/>
        <w:jc w:val="both"/>
        <w:spacing w:before="0" w:after="0" w:line="240" w:lineRule="auto"/>
        <w:shd w:val="clear" w:color="ffffff" w:fill="ffffff"/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- организации и проведения мероприятий по контролю, осуществляемых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 </w:t>
        <w:br/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без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 взаимодействия</w:t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с 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юридическими</w:t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лицами, 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индивидуальными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предпринимателями.</w:t>
      </w:r>
      <w:r>
        <w:rPr>
          <w:rFonts w:ascii="PT Astra Serif" w:hAnsi="PT Astra Serif" w:cs="PT Astra Serif"/>
          <w:highlight w:val="white"/>
        </w:rPr>
      </w:r>
      <w:r/>
    </w:p>
    <w:p>
      <w:pPr>
        <w:ind w:left="0" w:right="0" w:firstLine="0"/>
        <w:jc w:val="both"/>
        <w:spacing w:before="0" w:after="0" w:line="240" w:lineRule="auto"/>
        <w:shd w:val="clear" w:color="ffffff" w:fill="ffffff"/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ab/>
        <w:t xml:space="preserve">К подконтрольным субъектам относятся:</w:t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юридические лица, индивидуальные предприниматели и граждане,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деятельность которых подлежит оценке на предмет соблюдения обязательных требований, включенных в предмет государственного лесного контроля в рамках его осуществления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.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</w:r>
      <w:r/>
    </w:p>
    <w:p>
      <w:pPr>
        <w:ind w:left="0" w:right="0" w:firstLine="0"/>
        <w:jc w:val="both"/>
        <w:spacing w:before="0" w:after="0" w:line="240" w:lineRule="auto"/>
        <w:shd w:val="clear" w:color="ffffff" w:fill="ffffff"/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</w:r>
    </w:p>
    <w:p>
      <w:pPr>
        <w:ind w:left="0" w:right="0" w:firstLine="0"/>
        <w:jc w:val="both"/>
        <w:spacing w:before="0" w:after="0" w:line="240" w:lineRule="auto"/>
        <w:shd w:val="clear" w:color="ffffff" w:fill="ffffff"/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</w:r>
    </w:p>
    <w:p>
      <w:pPr>
        <w:ind w:left="0" w:right="0" w:firstLine="0"/>
        <w:jc w:val="both"/>
        <w:spacing w:before="0" w:after="0" w:line="240" w:lineRule="auto"/>
        <w:shd w:val="clear" w:color="ffffff" w:fill="ffffff"/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</w:r>
    </w:p>
    <w:p>
      <w:pPr>
        <w:ind w:left="0" w:right="0" w:firstLine="0"/>
        <w:jc w:val="both"/>
        <w:spacing w:before="0" w:after="0" w:line="240" w:lineRule="auto"/>
        <w:shd w:val="clear" w:color="ffffff" w:fill="ffffff"/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</w:r>
    </w:p>
    <w:p>
      <w:pPr>
        <w:ind w:left="0" w:right="0" w:firstLine="0"/>
        <w:jc w:val="both"/>
        <w:spacing w:before="0" w:after="0" w:line="240" w:lineRule="auto"/>
        <w:shd w:val="clear" w:color="ffffff" w:fill="ffffff"/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</w:r>
    </w:p>
    <w:p>
      <w:pPr>
        <w:ind w:left="0" w:right="0" w:firstLine="0"/>
        <w:jc w:val="both"/>
        <w:spacing w:before="0" w:after="0" w:line="240" w:lineRule="auto"/>
        <w:shd w:val="clear" w:color="ffffff" w:fill="ffffff"/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</w:r>
    </w:p>
    <w:p>
      <w:pPr>
        <w:ind w:left="0" w:right="0" w:firstLine="0"/>
        <w:jc w:val="both"/>
        <w:spacing w:before="0" w:after="0" w:line="240" w:lineRule="auto"/>
        <w:shd w:val="clear" w:color="ffffff" w:fill="ffffff"/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</w:r>
      <w:r>
        <w:rPr>
          <w:rFonts w:ascii="PT Astra Serif" w:hAnsi="PT Astra Serif" w:cs="PT Astra Serif"/>
          <w:highlight w:val="white"/>
        </w:rPr>
      </w:r>
      <w:r/>
    </w:p>
    <w:p>
      <w:pPr>
        <w:ind w:left="0" w:firstLine="0"/>
        <w:jc w:val="center"/>
        <w:spacing w:after="0" w:line="240" w:lineRule="auto"/>
        <w:rPr>
          <w:rFonts w:ascii="PT Astra Serif" w:hAnsi="PT Astra Serif" w:cs="PT Astra Serif"/>
          <w:b/>
          <w:bCs/>
          <w:sz w:val="26"/>
          <w:szCs w:val="26"/>
          <w:highlight w:val="white"/>
        </w:rPr>
      </w:pPr>
      <w:r>
        <w:rPr>
          <w:rFonts w:ascii="PT Astra Serif" w:hAnsi="PT Astra Serif" w:eastAsia="Times New Roman" w:cs="PT Astra Serif"/>
          <w:b/>
          <w:bCs/>
          <w:sz w:val="26"/>
          <w:szCs w:val="26"/>
          <w:highlight w:val="white"/>
        </w:rPr>
        <w:t xml:space="preserve">I</w:t>
      </w:r>
      <w:r>
        <w:rPr>
          <w:rFonts w:ascii="PT Astra Serif" w:hAnsi="PT Astra Serif" w:eastAsia="Times New Roman" w:cs="PT Astra Serif"/>
          <w:b/>
          <w:bCs/>
          <w:sz w:val="26"/>
          <w:szCs w:val="26"/>
          <w:highlight w:val="white"/>
        </w:rPr>
        <w:t xml:space="preserve">I </w:t>
      </w:r>
      <w:r>
        <w:rPr>
          <w:rFonts w:ascii="PT Astra Serif" w:hAnsi="PT Astra Serif" w:eastAsia="Times New Roman" w:cs="PT Astra Serif"/>
          <w:b/>
          <w:bCs/>
          <w:sz w:val="26"/>
          <w:szCs w:val="26"/>
          <w:highlight w:val="white"/>
        </w:rPr>
        <w:t xml:space="preserve">Анализ текущего состояния осуществления вида контроля,</w:t>
      </w:r>
      <w:r>
        <w:rPr>
          <w:rFonts w:ascii="PT Astra Serif" w:hAnsi="PT Astra Serif" w:cs="PT Astra Serif"/>
          <w:b/>
          <w:bCs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Times New Roman" w:cs="PT Astra Serif"/>
          <w:b/>
          <w:bCs/>
          <w:sz w:val="26"/>
          <w:szCs w:val="26"/>
          <w:highlight w:val="white"/>
        </w:rPr>
      </w:r>
      <w:r/>
    </w:p>
    <w:p>
      <w:pPr>
        <w:ind w:left="0" w:firstLine="0"/>
        <w:jc w:val="center"/>
        <w:spacing w:after="0" w:line="240" w:lineRule="auto"/>
        <w:rPr>
          <w:rFonts w:ascii="PT Astra Serif" w:hAnsi="PT Astra Serif" w:cs="PT Astra Serif"/>
          <w:b/>
          <w:bCs/>
          <w:sz w:val="26"/>
          <w:szCs w:val="26"/>
          <w:highlight w:val="white"/>
        </w:rPr>
      </w:pPr>
      <w:r>
        <w:rPr>
          <w:rFonts w:ascii="PT Astra Serif" w:hAnsi="PT Astra Serif" w:eastAsia="Times New Roman" w:cs="PT Astra Serif"/>
          <w:b/>
          <w:bCs/>
          <w:sz w:val="26"/>
          <w:szCs w:val="26"/>
          <w:highlight w:val="white"/>
        </w:rPr>
        <w:t xml:space="preserve">описание текущего развития профилактической деятельности </w:t>
      </w:r>
      <w:r>
        <w:rPr>
          <w:rFonts w:ascii="PT Astra Serif" w:hAnsi="PT Astra Serif" w:eastAsia="Times New Roman" w:cs="PT Astra Serif"/>
          <w:b/>
          <w:bCs/>
          <w:sz w:val="26"/>
          <w:szCs w:val="26"/>
          <w:highlight w:val="white"/>
        </w:rPr>
        <w:t xml:space="preserve">контрольного (надзорного) органа, характеристика проблем, </w:t>
      </w:r>
      <w:r>
        <w:rPr>
          <w:rFonts w:ascii="PT Astra Serif" w:hAnsi="PT Astra Serif" w:eastAsia="Times New Roman" w:cs="PT Astra Serif"/>
          <w:b/>
          <w:bCs/>
          <w:sz w:val="26"/>
          <w:szCs w:val="26"/>
          <w:highlight w:val="white"/>
        </w:rPr>
        <w:t xml:space="preserve">на </w:t>
      </w:r>
      <w:r>
        <w:rPr>
          <w:rFonts w:ascii="PT Astra Serif" w:hAnsi="PT Astra Serif" w:eastAsia="Times New Roman" w:cs="PT Astra Serif"/>
          <w:b/>
          <w:bCs/>
          <w:sz w:val="26"/>
          <w:szCs w:val="26"/>
          <w:highlight w:val="white"/>
        </w:rPr>
        <w:t xml:space="preserve">решение</w:t>
      </w:r>
      <w:r>
        <w:rPr>
          <w:rFonts w:ascii="PT Astra Serif" w:hAnsi="PT Astra Serif" w:eastAsia="Times New Roman" w:cs="PT Astra Serif"/>
          <w:b/>
          <w:bCs/>
          <w:sz w:val="26"/>
          <w:szCs w:val="26"/>
          <w:highlight w:val="white"/>
        </w:rPr>
        <w:t xml:space="preserve"> которых направлена программа профилактики</w:t>
      </w:r>
      <w:r>
        <w:rPr>
          <w:rFonts w:ascii="PT Astra Serif" w:hAnsi="PT Astra Serif" w:cs="PT Astra Serif"/>
          <w:highlight w:val="white"/>
        </w:rPr>
      </w:r>
      <w:r/>
    </w:p>
    <w:p>
      <w:pPr>
        <w:jc w:val="both"/>
        <w:spacing w:after="0" w:line="240" w:lineRule="auto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 w:eastAsiaTheme="minorHAnsi"/>
          <w:sz w:val="26"/>
          <w:szCs w:val="26"/>
          <w:highlight w:val="white"/>
        </w:rPr>
      </w:r>
      <w:r>
        <w:rPr>
          <w:rFonts w:ascii="PT Astra Serif" w:hAnsi="PT Astra Serif" w:cs="PT Astra Serif"/>
          <w:highlight w:val="white"/>
        </w:rPr>
      </w:r>
      <w:r/>
    </w:p>
    <w:p>
      <w:pPr>
        <w:jc w:val="both"/>
        <w:spacing w:after="0" w:line="240" w:lineRule="auto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ab/>
        <w:t xml:space="preserve">Департамент </w:t>
      </w:r>
      <w:r>
        <w:rPr>
          <w:rFonts w:ascii="PT Astra Serif" w:hAnsi="PT Astra Serif" w:eastAsia="Times New Roman" w:cs="PT Astra Serif"/>
          <w:color w:val="000000"/>
          <w:sz w:val="26"/>
          <w:szCs w:val="26"/>
          <w:highlight w:val="white"/>
          <w:lang w:eastAsia="ru-RU"/>
        </w:rPr>
        <w:t xml:space="preserve">является исполнительным органом государственной власти Томской области, входящим в систему исполнительных органов государственной власти Томской области и </w:t>
      </w:r>
      <w:r>
        <w:rPr>
          <w:rFonts w:ascii="PT Astra Serif" w:hAnsi="PT Astra Serif" w:cs="PT Astra Serif" w:eastAsiaTheme="minorHAnsi"/>
          <w:sz w:val="26"/>
          <w:szCs w:val="26"/>
          <w:highlight w:val="white"/>
        </w:rPr>
        <w:t xml:space="preserve">осуществляет на землях лесного фонда Государственный лесной контроль 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на основании Постановления Губернатора Томской области </w:t>
        <w:br/>
        <w:t xml:space="preserve">от 18.10.2012 N 128 «Об утверждении Положения о Департаменте лесного хозяйства Томской области»</w:t>
      </w:r>
      <w:r>
        <w:rPr>
          <w:rFonts w:ascii="PT Astra Serif" w:hAnsi="PT Astra Serif" w:cs="PT Astra Serif" w:eastAsiaTheme="minorHAnsi"/>
          <w:sz w:val="26"/>
          <w:szCs w:val="26"/>
          <w:highlight w:val="white"/>
        </w:rPr>
        <w:t xml:space="preserve">.</w:t>
      </w:r>
      <w:r>
        <w:rPr>
          <w:rFonts w:ascii="PT Astra Serif" w:hAnsi="PT Astra Serif" w:cs="PT Astra Serif"/>
          <w:highlight w:val="white"/>
        </w:rPr>
      </w:r>
      <w:r/>
    </w:p>
    <w:p>
      <w:pPr>
        <w:jc w:val="both"/>
        <w:spacing w:after="0" w:line="240" w:lineRule="auto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ab/>
        <w:t xml:space="preserve">Департамент осуществляет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переданные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Российской Федерацией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 полномочия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br/>
        <w:t xml:space="preserve">в области лесных отношений в части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осуществления федерального государственного лесного контроля (надзора)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(далее – государственный лесной контроль) </w:t>
        <w:br/>
        <w:t xml:space="preserve">в соответствии с Положением о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федеральном государственном лесном контроле (надзоре), утвержденным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постановлением Правительства Российской Федерации </w:t>
        <w:br/>
        <w:t xml:space="preserve">от 30.06.2021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№ 1098 «О федеральном государственном лесном контроле (надзоре)» (далее – Положение № 1098).</w:t>
      </w:r>
      <w:r>
        <w:rPr>
          <w:rFonts w:ascii="PT Astra Serif" w:hAnsi="PT Astra Serif" w:cs="PT Astra Serif"/>
          <w:highlight w:val="white"/>
        </w:rPr>
      </w:r>
      <w:r/>
    </w:p>
    <w:p>
      <w:pPr>
        <w:jc w:val="both"/>
        <w:spacing w:after="0" w:line="240" w:lineRule="auto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ab/>
        <w:t xml:space="preserve">Профилактическая деятельность Департамента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направлена на решение проблем </w:t>
        <w:br/>
        <w:t xml:space="preserve">в рамках осуществления Государственного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лесного контроля, на соблюдение юридическими лицами,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индивидуальными предпринимателями и гражданами требований,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установленных Лесным кодексом Российской Федерации, другими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федеральными законами и принимаемыми в соответствии с ними иными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нормативными правовыми актами Российской Федерации, законами и иными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нормативными правовыми актами субъектов Российской Федерации в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области использования, охраны, защиты, воспроизводства лесов и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лесоразведения (в том числе в области пожарной безопасности в лесах), в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области семеноводства </w:t>
        <w:br/>
        <w:t xml:space="preserve">в отношении семян лесных растений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.</w:t>
      </w:r>
      <w:r>
        <w:rPr>
          <w:rFonts w:ascii="PT Astra Serif" w:hAnsi="PT Astra Serif" w:cs="PT Astra Serif"/>
          <w:highlight w:val="white"/>
        </w:rPr>
      </w:r>
      <w:r/>
    </w:p>
    <w:p>
      <w:pPr>
        <w:jc w:val="both"/>
        <w:spacing w:after="0" w:line="240" w:lineRule="auto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ab/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Программа </w:t>
      </w:r>
      <w:r>
        <w:rPr>
          <w:rFonts w:ascii="PT Astra Serif" w:hAnsi="PT Astra Serif" w:eastAsia="Times New Roman" w:cs="PT Astra Serif"/>
          <w:bCs/>
          <w:sz w:val="26"/>
          <w:szCs w:val="26"/>
          <w:highlight w:val="white"/>
        </w:rPr>
        <w:t xml:space="preserve">профилактики рисков на 2025 год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разработана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Департаментом </w:t>
        <w:br/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в целях реализации положений </w:t>
      </w:r>
      <w:r>
        <w:rPr>
          <w:rFonts w:ascii="PT Astra Serif" w:hAnsi="PT Astra Serif" w:eastAsia="Times New Roman" w:cs="PT Astra Serif"/>
          <w:bCs/>
          <w:sz w:val="26"/>
          <w:szCs w:val="26"/>
          <w:highlight w:val="white"/>
        </w:rPr>
        <w:t xml:space="preserve">статьи 44 Федерального закона </w:t>
        <w:br/>
        <w:t xml:space="preserve">от 31.07.2020 № 248-ФЗ «О государственном</w:t>
      </w:r>
      <w:r>
        <w:rPr>
          <w:rFonts w:ascii="PT Astra Serif" w:hAnsi="PT Astra Serif" w:eastAsia="Times New Roman" w:cs="PT Astra Serif"/>
          <w:bCs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Times New Roman" w:cs="PT Astra Serif"/>
          <w:bCs/>
          <w:sz w:val="26"/>
          <w:szCs w:val="26"/>
          <w:highlight w:val="white"/>
        </w:rPr>
        <w:t xml:space="preserve">контроле (надзоре) и муниципальном контроле в Российской Федерации»</w:t>
      </w:r>
      <w:r>
        <w:rPr>
          <w:rFonts w:ascii="PT Astra Serif" w:hAnsi="PT Astra Serif" w:cs="PT Astra Serif"/>
          <w:color w:val="4f575c"/>
          <w:sz w:val="26"/>
          <w:szCs w:val="26"/>
          <w:highlight w:val="white"/>
          <w:shd w:val="clear" w:color="auto" w:fill="ffffff"/>
        </w:rPr>
        <w:t xml:space="preserve"> </w:t>
      </w:r>
      <w:r>
        <w:rPr>
          <w:rFonts w:ascii="PT Astra Serif" w:hAnsi="PT Astra Serif" w:eastAsia="Times New Roman" w:cs="PT Astra Serif"/>
          <w:bCs/>
          <w:sz w:val="26"/>
          <w:szCs w:val="26"/>
          <w:highlight w:val="white"/>
        </w:rPr>
        <w:t xml:space="preserve">(</w:t>
      </w:r>
      <w:r>
        <w:rPr>
          <w:rFonts w:ascii="PT Astra Serif" w:hAnsi="PT Astra Serif" w:eastAsia="Times New Roman" w:cs="PT Astra Serif"/>
          <w:bCs/>
          <w:sz w:val="26"/>
          <w:szCs w:val="26"/>
          <w:highlight w:val="white"/>
        </w:rPr>
        <w:t xml:space="preserve">далее – Федеральный закон</w:t>
      </w:r>
      <w:r>
        <w:rPr>
          <w:rFonts w:ascii="PT Astra Serif" w:hAnsi="PT Astra Serif" w:eastAsia="Times New Roman" w:cs="PT Astra Serif"/>
          <w:bCs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Times New Roman" w:cs="PT Astra Serif"/>
          <w:bCs/>
          <w:sz w:val="26"/>
          <w:szCs w:val="26"/>
          <w:highlight w:val="white"/>
        </w:rPr>
        <w:t xml:space="preserve">№ 248-ФЗ),</w:t>
      </w:r>
      <w:r>
        <w:rPr>
          <w:rFonts w:ascii="PT Astra Serif" w:hAnsi="PT Astra Serif" w:eastAsia="Times New Roman" w:cs="PT Astra Serif"/>
          <w:bCs/>
          <w:sz w:val="26"/>
          <w:szCs w:val="26"/>
          <w:highlight w:val="white"/>
        </w:rPr>
        <w:t xml:space="preserve"> </w:t>
        <w:br/>
        <w:t xml:space="preserve">в соответствии с постановлением Правительства Российской Федерации</w:t>
      </w:r>
      <w:r>
        <w:rPr>
          <w:rFonts w:ascii="PT Astra Serif" w:hAnsi="PT Astra Serif" w:eastAsia="Times New Roman" w:cs="PT Astra Serif"/>
          <w:bCs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Times New Roman" w:cs="PT Astra Serif"/>
          <w:bCs/>
          <w:sz w:val="26"/>
          <w:szCs w:val="26"/>
          <w:highlight w:val="white"/>
        </w:rPr>
        <w:t xml:space="preserve">от 25.06.2021 № 990 «Об утверждении Правил разработки</w:t>
      </w:r>
      <w:r>
        <w:rPr>
          <w:rFonts w:ascii="PT Astra Serif" w:hAnsi="PT Astra Serif" w:eastAsia="Times New Roman" w:cs="PT Astra Serif"/>
          <w:bCs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Times New Roman" w:cs="PT Astra Serif"/>
          <w:bCs/>
          <w:sz w:val="26"/>
          <w:szCs w:val="26"/>
          <w:highlight w:val="white"/>
        </w:rPr>
        <w:t xml:space="preserve">и утверждения контрольными (надзорными) органами программы профилактики рисков причинения вреда (ущерба) охраняемым законом ценностям» </w:t>
      </w:r>
      <w:r>
        <w:rPr>
          <w:rFonts w:ascii="PT Astra Serif" w:hAnsi="PT Astra Serif" w:eastAsia="Times New Roman" w:cs="PT Astra Serif"/>
          <w:bCs/>
          <w:sz w:val="26"/>
          <w:szCs w:val="26"/>
          <w:highlight w:val="white"/>
        </w:rPr>
        <w:t xml:space="preserve">(далее – Постановление Правительства № 990).</w:t>
      </w:r>
      <w:r>
        <w:rPr>
          <w:rFonts w:ascii="PT Astra Serif" w:hAnsi="PT Astra Serif" w:cs="PT Astra Serif"/>
          <w:highlight w:val="white"/>
        </w:rPr>
      </w:r>
      <w:r/>
    </w:p>
    <w:p>
      <w:pPr>
        <w:jc w:val="both"/>
        <w:spacing w:after="0" w:line="240" w:lineRule="auto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ab/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Настоящая </w:t>
      </w:r>
      <w:r>
        <w:rPr>
          <w:rFonts w:ascii="PT Astra Serif" w:hAnsi="PT Astra Serif" w:eastAsia="Times New Roman" w:cs="PT Astra Serif"/>
          <w:bCs/>
          <w:sz w:val="26"/>
          <w:szCs w:val="26"/>
          <w:highlight w:val="white"/>
        </w:rPr>
        <w:t xml:space="preserve">Программа профилактики рисков </w:t>
      </w:r>
      <w:r>
        <w:rPr>
          <w:rFonts w:ascii="PT Astra Serif" w:hAnsi="PT Astra Serif" w:eastAsia="Times New Roman" w:cs="PT Astra Serif"/>
          <w:color w:val="000000"/>
          <w:sz w:val="26"/>
          <w:szCs w:val="26"/>
          <w:highlight w:val="white"/>
          <w:lang w:eastAsia="ru-RU"/>
        </w:rPr>
        <w:t xml:space="preserve">направлена на достижение общественно значимых результатов, связанных с </w:t>
      </w:r>
      <w:r>
        <w:rPr>
          <w:rFonts w:ascii="PT Astra Serif" w:hAnsi="PT Astra Serif" w:eastAsia="Times New Roman" w:cs="PT Astra Serif"/>
          <w:color w:val="000000"/>
          <w:sz w:val="26"/>
          <w:szCs w:val="26"/>
          <w:highlight w:val="white"/>
          <w:lang w:eastAsia="ru-RU"/>
        </w:rPr>
        <w:t xml:space="preserve">минимизацией риска причинения вреда (ущерба) охраняемым законом </w:t>
      </w:r>
      <w:r>
        <w:rPr>
          <w:rFonts w:ascii="PT Astra Serif" w:hAnsi="PT Astra Serif" w:eastAsia="Times New Roman" w:cs="PT Astra Serif"/>
          <w:color w:val="000000"/>
          <w:sz w:val="26"/>
          <w:szCs w:val="26"/>
          <w:highlight w:val="white"/>
          <w:lang w:eastAsia="ru-RU"/>
        </w:rPr>
        <w:t xml:space="preserve">ценностям, вызванного нарушениями обязательных требований лесного</w:t>
      </w:r>
      <w:r>
        <w:rPr>
          <w:rFonts w:ascii="PT Astra Serif" w:hAnsi="PT Astra Serif" w:eastAsia="Times New Roman" w:cs="PT Astra Serif"/>
          <w:color w:val="000000"/>
          <w:sz w:val="26"/>
          <w:szCs w:val="26"/>
          <w:highlight w:val="white"/>
          <w:lang w:eastAsia="ru-RU"/>
        </w:rPr>
        <w:t xml:space="preserve"> </w:t>
      </w:r>
      <w:r>
        <w:rPr>
          <w:rFonts w:ascii="PT Astra Serif" w:hAnsi="PT Astra Serif" w:eastAsia="Times New Roman" w:cs="PT Astra Serif"/>
          <w:color w:val="000000"/>
          <w:sz w:val="26"/>
          <w:szCs w:val="26"/>
          <w:highlight w:val="white"/>
          <w:lang w:eastAsia="ru-RU"/>
        </w:rPr>
        <w:t xml:space="preserve">законодательства. Программа </w:t>
      </w:r>
      <w:r>
        <w:rPr>
          <w:rFonts w:ascii="PT Astra Serif" w:hAnsi="PT Astra Serif" w:eastAsia="Times New Roman" w:cs="PT Astra Serif"/>
          <w:bCs/>
          <w:sz w:val="26"/>
          <w:szCs w:val="26"/>
          <w:highlight w:val="white"/>
        </w:rPr>
        <w:t xml:space="preserve">разработана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 в целях стимулирования добросовестного соблюдения обязательных требований контролируемыми лицами</w:t>
      </w:r>
      <w:bookmarkStart w:id="2" w:name="dst100486"/>
      <w:r>
        <w:rPr>
          <w:rFonts w:ascii="PT Astra Serif" w:hAnsi="PT Astra Serif" w:cs="PT Astra Serif"/>
          <w:sz w:val="26"/>
          <w:szCs w:val="26"/>
          <w:highlight w:val="white"/>
        </w:rPr>
      </w:r>
      <w:bookmarkEnd w:id="2"/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, создания условий для доведения обязательных требований до контролируемых лиц, повышение информированности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 о способах их соблюдения, </w:t>
      </w:r>
      <w:bookmarkStart w:id="3" w:name="dst100485"/>
      <w:r>
        <w:rPr>
          <w:rFonts w:ascii="PT Astra Serif" w:hAnsi="PT Astra Serif" w:cs="PT Astra Serif"/>
          <w:sz w:val="26"/>
          <w:szCs w:val="26"/>
          <w:highlight w:val="white"/>
        </w:rPr>
      </w:r>
      <w:bookmarkEnd w:id="3"/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а также устранения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причин,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условий и факторов, способных привести к нарушениям обязательных требований и (или) причинению вреда (ущерба) охраняемым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 законом ценностям, соблюдение которых оценивается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Департаментом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и его подведомственным учреждением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Областным государственным казенным учреждением «Томское управление лесами»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(далее -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ОГКУ «Томсклес»)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br/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при осуществлении федерального государственного лесного контроля (надзора) </w:t>
        <w:br/>
        <w:t xml:space="preserve">в лесах, расположенных на землях лесного фонда на территории Томской области, устранения причин, факторов и условий, способствующих нарушению таких обязательных требований.</w:t>
      </w:r>
      <w:r>
        <w:rPr>
          <w:rFonts w:ascii="PT Astra Serif" w:hAnsi="PT Astra Serif" w:cs="PT Astra Serif"/>
          <w:highlight w:val="white"/>
        </w:rPr>
      </w:r>
      <w:r/>
    </w:p>
    <w:p>
      <w:pPr>
        <w:jc w:val="both"/>
        <w:spacing w:after="0" w:line="240" w:lineRule="auto"/>
        <w:shd w:val="clear" w:color="auto" w:fill="ffffff"/>
        <w:rPr>
          <w:rFonts w:ascii="PT Astra Serif" w:hAnsi="PT Astra Serif" w:cs="PT Astra Serif"/>
          <w:color w:val="000000"/>
          <w:sz w:val="26"/>
          <w:szCs w:val="26"/>
          <w:highlight w:val="white"/>
        </w:rPr>
      </w:pPr>
      <w:r>
        <w:rPr>
          <w:rFonts w:ascii="PT Astra Serif" w:hAnsi="PT Astra Serif" w:eastAsia="Times New Roman" w:cs="PT Astra Serif"/>
          <w:color w:val="000000"/>
          <w:sz w:val="26"/>
          <w:szCs w:val="26"/>
          <w:highlight w:val="white"/>
          <w:lang w:eastAsia="ru-RU"/>
        </w:rPr>
        <w:tab/>
        <w:t xml:space="preserve">С целью профилактики нарушений в 2024 году </w:t>
      </w:r>
      <w:r>
        <w:rPr>
          <w:rFonts w:ascii="PT Astra Serif" w:hAnsi="PT Astra Serif" w:eastAsia="Times New Roman" w:cs="PT Astra Serif"/>
          <w:color w:val="000000"/>
          <w:sz w:val="26"/>
          <w:szCs w:val="26"/>
          <w:highlight w:val="white"/>
          <w:lang w:eastAsia="ru-RU"/>
        </w:rPr>
        <w:t xml:space="preserve">Департаментом</w:t>
      </w:r>
      <w:r>
        <w:rPr>
          <w:rFonts w:ascii="PT Astra Serif" w:hAnsi="PT Astra Serif" w:eastAsia="Times New Roman" w:cs="PT Astra Serif"/>
          <w:color w:val="000000"/>
          <w:sz w:val="26"/>
          <w:szCs w:val="26"/>
          <w:highlight w:val="white"/>
          <w:lang w:eastAsia="ru-RU"/>
        </w:rPr>
        <w:t xml:space="preserve"> осуществлялось информирование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контролируемых лиц</w:t>
      </w:r>
      <w:r>
        <w:rPr>
          <w:rFonts w:ascii="PT Astra Serif" w:hAnsi="PT Astra Serif" w:eastAsia="Times New Roman" w:cs="PT Astra Serif"/>
          <w:color w:val="000000"/>
          <w:sz w:val="26"/>
          <w:szCs w:val="26"/>
          <w:highlight w:val="white"/>
          <w:lang w:eastAsia="ru-RU"/>
        </w:rPr>
        <w:t xml:space="preserve"> по вопрос</w:t>
      </w:r>
      <w:r>
        <w:rPr>
          <w:rFonts w:ascii="PT Astra Serif" w:hAnsi="PT Astra Serif" w:eastAsia="Times New Roman" w:cs="PT Astra Serif"/>
          <w:color w:val="000000"/>
          <w:sz w:val="26"/>
          <w:szCs w:val="26"/>
          <w:highlight w:val="white"/>
          <w:lang w:eastAsia="ru-RU"/>
        </w:rPr>
        <w:t xml:space="preserve">ам соблюдения обязательных требований, проводились семинары и принимались участия в конференциях. Также Департаментом проводится разъяснительная работа с использованием средств массовой информации. На официальном сайте Департамента размещается информация </w:t>
      </w:r>
      <w:r>
        <w:rPr>
          <w:rFonts w:ascii="PT Astra Serif" w:hAnsi="PT Astra Serif" w:eastAsia="Times New Roman" w:cs="PT Astra Serif"/>
          <w:color w:val="000000"/>
          <w:sz w:val="26"/>
          <w:szCs w:val="26"/>
          <w:highlight w:val="white"/>
          <w:lang w:eastAsia="ru-RU"/>
        </w:rPr>
        <w:t xml:space="preserve">с</w:t>
      </w:r>
      <w:r>
        <w:rPr>
          <w:rFonts w:ascii="PT Astra Serif" w:hAnsi="PT Astra Serif" w:eastAsia="Times New Roman" w:cs="PT Astra Serif"/>
          <w:color w:val="000000"/>
          <w:sz w:val="26"/>
          <w:szCs w:val="26"/>
          <w:highlight w:val="white"/>
          <w:lang w:eastAsia="ru-RU"/>
        </w:rPr>
        <w:t xml:space="preserve"> описанием </w:t>
      </w:r>
      <w:r>
        <w:rPr>
          <w:rFonts w:ascii="PT Astra Serif" w:hAnsi="PT Astra Serif" w:eastAsia="Times New Roman" w:cs="PT Astra Serif"/>
          <w:color w:val="000000"/>
          <w:sz w:val="26"/>
          <w:szCs w:val="26"/>
          <w:highlight w:val="white"/>
          <w:lang w:eastAsia="ru-RU"/>
        </w:rPr>
        <w:t xml:space="preserve">наиболее часто встречающи</w:t>
      </w:r>
      <w:r>
        <w:rPr>
          <w:rFonts w:ascii="PT Astra Serif" w:hAnsi="PT Astra Serif" w:eastAsia="Times New Roman" w:cs="PT Astra Serif"/>
          <w:color w:val="000000"/>
          <w:sz w:val="26"/>
          <w:szCs w:val="26"/>
          <w:highlight w:val="white"/>
          <w:lang w:eastAsia="ru-RU"/>
        </w:rPr>
        <w:t xml:space="preserve">хся </w:t>
      </w:r>
      <w:r>
        <w:rPr>
          <w:rFonts w:ascii="PT Astra Serif" w:hAnsi="PT Astra Serif" w:eastAsia="Times New Roman" w:cs="PT Astra Serif"/>
          <w:color w:val="000000"/>
          <w:sz w:val="26"/>
          <w:szCs w:val="26"/>
          <w:highlight w:val="white"/>
          <w:lang w:eastAsia="ru-RU"/>
        </w:rPr>
        <w:t xml:space="preserve">случа</w:t>
      </w:r>
      <w:r>
        <w:rPr>
          <w:rFonts w:ascii="PT Astra Serif" w:hAnsi="PT Astra Serif" w:eastAsia="Times New Roman" w:cs="PT Astra Serif"/>
          <w:color w:val="000000"/>
          <w:sz w:val="26"/>
          <w:szCs w:val="26"/>
          <w:highlight w:val="white"/>
          <w:lang w:eastAsia="ru-RU"/>
        </w:rPr>
        <w:t xml:space="preserve">ев</w:t>
      </w:r>
      <w:r>
        <w:rPr>
          <w:rFonts w:ascii="PT Astra Serif" w:hAnsi="PT Astra Serif" w:eastAsia="Times New Roman" w:cs="PT Astra Serif"/>
          <w:color w:val="000000"/>
          <w:sz w:val="26"/>
          <w:szCs w:val="26"/>
          <w:highlight w:val="white"/>
          <w:lang w:eastAsia="ru-RU"/>
        </w:rPr>
        <w:t xml:space="preserve"> нарушений обязательных требований</w:t>
      </w:r>
      <w:r>
        <w:rPr>
          <w:rFonts w:ascii="PT Astra Serif" w:hAnsi="PT Astra Serif" w:eastAsia="Times New Roman" w:cs="PT Astra Serif"/>
          <w:color w:val="000000"/>
          <w:sz w:val="26"/>
          <w:szCs w:val="26"/>
          <w:highlight w:val="white"/>
          <w:lang w:eastAsia="ru-RU"/>
        </w:rPr>
        <w:t xml:space="preserve"> и </w:t>
      </w:r>
      <w:r>
        <w:rPr>
          <w:rFonts w:ascii="PT Astra Serif" w:hAnsi="PT Astra Serif" w:eastAsia="Times New Roman" w:cs="PT Astra Serif"/>
          <w:color w:val="000000"/>
          <w:sz w:val="26"/>
          <w:szCs w:val="26"/>
          <w:highlight w:val="white"/>
          <w:lang w:eastAsia="ru-RU"/>
        </w:rPr>
        <w:t xml:space="preserve">рекомендациями в отношении мер, которые должны приниматься юридическими лицами, индивидуальными предпринимателями в целях</w:t>
      </w:r>
      <w:r>
        <w:rPr>
          <w:rFonts w:ascii="PT Astra Serif" w:hAnsi="PT Astra Serif" w:eastAsia="Times New Roman" w:cs="PT Astra Serif"/>
          <w:color w:val="000000"/>
          <w:sz w:val="26"/>
          <w:szCs w:val="26"/>
          <w:highlight w:val="white"/>
          <w:lang w:eastAsia="ru-RU"/>
        </w:rPr>
        <w:t xml:space="preserve"> </w:t>
      </w:r>
      <w:r>
        <w:rPr>
          <w:rFonts w:ascii="PT Astra Serif" w:hAnsi="PT Astra Serif" w:eastAsia="Times New Roman" w:cs="PT Astra Serif"/>
          <w:color w:val="000000"/>
          <w:sz w:val="26"/>
          <w:szCs w:val="26"/>
          <w:highlight w:val="white"/>
          <w:lang w:eastAsia="ru-RU"/>
        </w:rPr>
        <w:t xml:space="preserve">недопущения таких нарушений.</w:t>
      </w:r>
      <w:r>
        <w:rPr>
          <w:rFonts w:ascii="PT Astra Serif" w:hAnsi="PT Astra Serif" w:cs="PT Astra Serif"/>
          <w:highlight w:val="white"/>
        </w:rPr>
      </w:r>
      <w:r/>
    </w:p>
    <w:p>
      <w:pPr>
        <w:jc w:val="both"/>
        <w:spacing w:after="0" w:afterAutospacing="0" w:line="240" w:lineRule="auto"/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  <w:outlineLvl w:val="0"/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ab/>
        <w:t xml:space="preserve">В соответствии с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 требованиями части 3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стать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и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61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 Федерального закона </w:t>
        <w:br/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№ 248-ФЗ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,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подпункта «а» пункта 14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постановлени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я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Правительства Р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оссийской Федерации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 от 31.12.2020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№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 2428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«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О порядке формирования плана проведения плановых контрольных (надзорных) мероприятий на очередной календарный год, его согласования с органами прокуратуры, включения в него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и исключения из него контрольных (надзорных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) мероприятий в течение года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»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,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 пунктами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 1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, 5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Постановлени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я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 Правительства Р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оссийской Федерации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 от 10.03.2022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 </w:t>
      </w:r>
      <w:r>
        <w:rPr>
          <w:rFonts w:ascii="PT Astra Serif" w:hAnsi="PT Astra Serif" w:eastAsia="Times New Roman" w:cs="PT Astra Serif"/>
          <w:color w:val="000000" w:themeColor="text1"/>
          <w:sz w:val="26"/>
          <w:szCs w:val="26"/>
          <w:highlight w:val="white"/>
          <w:lang w:eastAsia="ru-RU"/>
        </w:rPr>
        <w:t xml:space="preserve">№</w:t>
      </w:r>
      <w:r>
        <w:rPr>
          <w:rFonts w:ascii="PT Astra Serif" w:hAnsi="PT Astra Serif" w:eastAsia="Times New Roman" w:cs="PT Astra Serif"/>
          <w:color w:val="000000" w:themeColor="text1"/>
          <w:sz w:val="26"/>
          <w:szCs w:val="26"/>
          <w:highlight w:val="white"/>
          <w:lang w:eastAsia="ru-RU"/>
        </w:rPr>
        <w:t xml:space="preserve"> 336</w:t>
      </w:r>
      <w:r>
        <w:rPr>
          <w:rFonts w:ascii="PT Astra Serif" w:hAnsi="PT Astra Serif" w:eastAsia="Times New Roman" w:cs="PT Astra Serif"/>
          <w:color w:val="000000" w:themeColor="text1"/>
          <w:sz w:val="26"/>
          <w:szCs w:val="26"/>
          <w:highlight w:val="white"/>
          <w:lang w:eastAsia="ru-RU"/>
        </w:rPr>
        <w:t xml:space="preserve"> </w:t>
      </w:r>
      <w:r>
        <w:rPr>
          <w:rFonts w:ascii="PT Astra Serif" w:hAnsi="PT Astra Serif" w:eastAsia="Times New Roman" w:cs="PT Astra Serif"/>
          <w:color w:val="000000" w:themeColor="text1"/>
          <w:sz w:val="26"/>
          <w:szCs w:val="26"/>
          <w:highlight w:val="white"/>
          <w:lang w:eastAsia="ru-RU"/>
        </w:rPr>
        <w:t xml:space="preserve">«</w:t>
      </w:r>
      <w:r>
        <w:rPr>
          <w:rFonts w:ascii="PT Astra Serif" w:hAnsi="PT Astra Serif" w:eastAsia="Times New Roman" w:cs="PT Astra Serif"/>
          <w:color w:val="000000" w:themeColor="text1"/>
          <w:sz w:val="26"/>
          <w:szCs w:val="26"/>
          <w:highlight w:val="white"/>
          <w:lang w:eastAsia="ru-RU"/>
        </w:rPr>
        <w:t xml:space="preserve">Об особенностях организации и осуществления государственного контроля (на</w:t>
      </w:r>
      <w:r>
        <w:rPr>
          <w:rFonts w:ascii="PT Astra Serif" w:hAnsi="PT Astra Serif" w:eastAsia="Times New Roman" w:cs="PT Astra Serif"/>
          <w:color w:val="000000" w:themeColor="text1"/>
          <w:sz w:val="26"/>
          <w:szCs w:val="26"/>
          <w:highlight w:val="white"/>
          <w:lang w:eastAsia="ru-RU"/>
        </w:rPr>
        <w:t xml:space="preserve">дзора), муниципального контроля» </w:t>
      </w:r>
      <w:r>
        <w:rPr>
          <w:rFonts w:ascii="PT Astra Serif" w:hAnsi="PT Astra Serif" w:eastAsia="Times New Roman" w:cs="PT Astra Serif"/>
          <w:color w:val="000000" w:themeColor="text1"/>
          <w:sz w:val="26"/>
          <w:szCs w:val="26"/>
          <w:highlight w:val="white"/>
          <w:lang w:eastAsia="ru-RU"/>
        </w:rPr>
        <w:t xml:space="preserve">Департаментом и </w:t>
      </w:r>
      <w:r>
        <w:rPr>
          <w:rFonts w:ascii="PT Astra Serif" w:hAnsi="PT Astra Serif" w:eastAsia="Times New Roman" w:cs="PT Astra Serif"/>
          <w:color w:val="000000" w:themeColor="text1"/>
          <w:sz w:val="26"/>
          <w:szCs w:val="26"/>
          <w:highlight w:val="white"/>
          <w:lang w:eastAsia="ru-RU"/>
        </w:rPr>
        <w:t xml:space="preserve">ОГКУ «Томсклес» </w:t>
      </w:r>
      <w:r>
        <w:rPr>
          <w:rFonts w:ascii="PT Astra Serif" w:hAnsi="PT Astra Serif" w:eastAsia="Times New Roman" w:cs="PT Astra Serif"/>
          <w:color w:val="000000" w:themeColor="text1"/>
          <w:sz w:val="26"/>
          <w:szCs w:val="26"/>
          <w:highlight w:val="white"/>
          <w:lang w:eastAsia="ru-RU"/>
        </w:rPr>
        <w:t xml:space="preserve">план </w:t>
      </w:r>
      <w:r>
        <w:rPr>
          <w:rFonts w:ascii="PT Astra Serif" w:hAnsi="PT Astra Serif" w:eastAsia="Times New Roman" w:cs="PT Astra Serif"/>
          <w:color w:val="000000" w:themeColor="text1"/>
          <w:sz w:val="26"/>
          <w:szCs w:val="26"/>
          <w:highlight w:val="white"/>
          <w:lang w:eastAsia="ru-RU"/>
        </w:rPr>
        <w:t xml:space="preserve">проведения плановых контрольных (надзорных) мероприятий </w:t>
      </w:r>
      <w:r>
        <w:rPr>
          <w:rFonts w:ascii="PT Astra Serif" w:hAnsi="PT Astra Serif" w:eastAsia="Times New Roman" w:cs="PT Astra Serif"/>
          <w:color w:val="000000" w:themeColor="text1"/>
          <w:sz w:val="26"/>
          <w:szCs w:val="26"/>
          <w:highlight w:val="white"/>
          <w:lang w:eastAsia="ru-RU"/>
        </w:rPr>
        <w:t xml:space="preserve">на 202</w:t>
      </w:r>
      <w:r>
        <w:rPr>
          <w:rFonts w:ascii="PT Astra Serif" w:hAnsi="PT Astra Serif" w:eastAsia="Times New Roman" w:cs="PT Astra Serif"/>
          <w:color w:val="000000" w:themeColor="text1"/>
          <w:sz w:val="26"/>
          <w:szCs w:val="26"/>
          <w:highlight w:val="white"/>
          <w:lang w:eastAsia="ru-RU"/>
        </w:rPr>
        <w:t xml:space="preserve">5 год не формировался</w:t>
      </w:r>
      <w:r>
        <w:rPr>
          <w:rFonts w:ascii="PT Astra Serif" w:hAnsi="PT Astra Serif" w:eastAsia="Times New Roman" w:cs="PT Astra Serif"/>
          <w:color w:val="000000" w:themeColor="text1"/>
          <w:sz w:val="26"/>
          <w:szCs w:val="26"/>
          <w:highlight w:val="white"/>
          <w:lang w:eastAsia="ru-RU"/>
        </w:rPr>
        <w:t xml:space="preserve"> в связи с тем, что </w:t>
      </w:r>
      <w:r>
        <w:rPr>
          <w:rFonts w:ascii="PT Astra Serif" w:hAnsi="PT Astra Serif" w:eastAsia="Times New Roman" w:cs="PT Astra Serif"/>
          <w:color w:val="000000" w:themeColor="text1"/>
          <w:sz w:val="26"/>
          <w:szCs w:val="26"/>
          <w:highlight w:val="white"/>
          <w:lang w:eastAsia="ru-RU"/>
        </w:rPr>
        <w:t xml:space="preserve">в план </w:t>
      </w:r>
      <w:r>
        <w:rPr>
          <w:rFonts w:ascii="PT Astra Serif" w:hAnsi="PT Astra Serif" w:eastAsia="Times New Roman" w:cs="PT Astra Serif"/>
          <w:color w:val="000000" w:themeColor="text1"/>
          <w:sz w:val="26"/>
          <w:szCs w:val="26"/>
          <w:highlight w:val="white"/>
          <w:lang w:eastAsia="ru-RU"/>
        </w:rPr>
        <w:t xml:space="preserve">включаются плановые контрольные (надзорные) мероприятия, плановые проверки только в отношении объектов контроля, отнесенных к категориям чрезвычайно высокого и высокого риска, опасным производственным объектам II класса опасности, гидротехническим сооружен</w:t>
      </w:r>
      <w:r>
        <w:rPr>
          <w:rFonts w:ascii="PT Astra Serif" w:hAnsi="PT Astra Serif" w:eastAsia="Times New Roman" w:cs="PT Astra Serif"/>
          <w:color w:val="000000" w:themeColor="text1"/>
          <w:sz w:val="26"/>
          <w:szCs w:val="26"/>
          <w:highlight w:val="white"/>
          <w:lang w:eastAsia="ru-RU"/>
        </w:rPr>
        <w:t xml:space="preserve">иям II класса</w:t>
      </w:r>
      <w:r>
        <w:rPr>
          <w:rFonts w:ascii="PT Astra Serif" w:hAnsi="PT Astra Serif" w:eastAsia="Times New Roman" w:cs="PT Astra Serif"/>
          <w:color w:val="000000" w:themeColor="text1"/>
          <w:sz w:val="26"/>
          <w:szCs w:val="26"/>
          <w:highlight w:val="white"/>
          <w:lang w:eastAsia="ru-RU"/>
        </w:rPr>
        <w:t xml:space="preserve">.</w:t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  <w:t xml:space="preserve"> </w:t>
      </w:r>
      <w:r>
        <w:rPr>
          <w:rFonts w:ascii="PT Astra Serif" w:hAnsi="PT Astra Serif" w:cs="PT Astra Serif"/>
          <w:highlight w:val="white"/>
        </w:rPr>
      </w:r>
      <w:r/>
    </w:p>
    <w:p>
      <w:pPr>
        <w:ind w:left="0" w:right="0" w:firstLine="0"/>
        <w:jc w:val="both"/>
        <w:spacing w:before="0" w:after="0" w:afterAutospacing="0" w:line="240" w:lineRule="auto"/>
        <w:shd w:val="clear" w:color="ffffff" w:fill="ffffff"/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 w:themeColor="text1"/>
          <w:sz w:val="26"/>
          <w:szCs w:val="26"/>
          <w:highlight w:val="white"/>
          <w:lang w:eastAsia="ru-RU"/>
        </w:rPr>
        <w:tab/>
        <w:t xml:space="preserve">Положением № 1098</w:t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  <w:t xml:space="preserve"> закреплено, что </w:t>
      </w:r>
      <w:r>
        <w:rPr>
          <w:rFonts w:ascii="PT Astra Serif" w:hAnsi="PT Astra Serif" w:eastAsia="PT Serif" w:cs="PT Astra Serif"/>
          <w:color w:val="000000" w:themeColor="text1"/>
          <w:sz w:val="26"/>
          <w:szCs w:val="26"/>
          <w:highlight w:val="white"/>
        </w:rPr>
        <w:t xml:space="preserve">при осуществлении государственного контроля (надзора) объекты контроля могут быть отнесены только </w:t>
      </w:r>
      <w:r>
        <w:rPr>
          <w:rFonts w:ascii="PT Astra Serif" w:hAnsi="PT Astra Serif" w:eastAsia="PT Serif" w:cs="PT Astra Serif"/>
          <w:color w:val="000000" w:themeColor="text1"/>
          <w:sz w:val="26"/>
          <w:szCs w:val="26"/>
          <w:highlight w:val="white"/>
        </w:rPr>
        <w:t xml:space="preserve">к значительной, умеренной или низкой категории риска.</w:t>
      </w:r>
      <w:r>
        <w:rPr>
          <w:rFonts w:ascii="PT Astra Serif" w:hAnsi="PT Astra Serif" w:cs="PT Astra Serif"/>
          <w:highlight w:val="white"/>
        </w:rPr>
      </w:r>
      <w:r/>
    </w:p>
    <w:p>
      <w:pPr>
        <w:jc w:val="both"/>
        <w:spacing w:after="0" w:line="240" w:lineRule="auto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ab/>
        <w:t xml:space="preserve">В 2024 году контрольные (надзорные) мероприятия Департаментом не проводились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/>
    </w:p>
    <w:p>
      <w:pPr>
        <w:jc w:val="both"/>
        <w:spacing w:after="0" w:line="240" w:lineRule="auto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ab/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Случаев причинения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вреда жизни и здоровью граждан, вреда животным, растениям, окружающей среде, объектам культурного наследия народов Российской Федерации, имуществу физических и юридических лиц, безопасности государства,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br/>
        <w:t xml:space="preserve">а также случаев возникновения чрезвычайных ситуаций природного и техногенного характера не зафиксировано.</w:t>
      </w:r>
      <w:r>
        <w:rPr>
          <w:rFonts w:ascii="PT Astra Serif" w:hAnsi="PT Astra Serif" w:cs="PT Astra Serif"/>
          <w:highlight w:val="white"/>
        </w:rPr>
      </w:r>
      <w:r/>
    </w:p>
    <w:p>
      <w:pPr>
        <w:ind w:firstLine="0"/>
        <w:jc w:val="both"/>
        <w:spacing w:after="0" w:afterAutospacing="0" w:line="240" w:lineRule="auto"/>
        <w:rPr>
          <w:rFonts w:ascii="PT Astra Serif" w:hAnsi="PT Astra Serif" w:cs="PT Astra Serif"/>
          <w:sz w:val="26"/>
          <w:szCs w:val="26"/>
          <w:highlight w:val="whit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ab/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В 2024 году проведены мероприятия по профилактике нарушений требований лесного законодательства.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На территории Томской области проводятся следующие профилактические мероприятия: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устанавливаются противопожарные аншлаги, проводятся беседы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с лесозаготовителями и гражданами, раздаются листовки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</w:t>
        <w:br/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с противопожарной тематикой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. В ходе реализации и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нформационн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ой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кампани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и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население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оперативно информир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уется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о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лесопожарной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обстановке, принимаемых мерах по тушению пожаров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,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с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населени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ем проводится разъяснительная работа </w:t>
        <w:br/>
        <w:t xml:space="preserve">по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вопрос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у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необходимости соблюдения правил пожарной безопасности в лесах. </w:t>
      </w:r>
      <w:r>
        <w:rPr>
          <w:rFonts w:ascii="PT Astra Serif" w:hAnsi="PT Astra Serif" w:cs="PT Astra Serif"/>
          <w:highlight w:val="white"/>
        </w:rPr>
      </w:r>
      <w:r/>
    </w:p>
    <w:p>
      <w:pPr>
        <w:ind w:firstLine="0"/>
        <w:jc w:val="both"/>
        <w:spacing w:after="0" w:afterAutospacing="0" w:line="240" w:lineRule="auto"/>
        <w:rPr>
          <w:rFonts w:ascii="PT Astra Serif" w:hAnsi="PT Astra Serif" w:cs="PT Astra Serif"/>
          <w:sz w:val="26"/>
          <w:szCs w:val="26"/>
          <w:highlight w:val="whit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ab/>
        <w:t xml:space="preserve">В целях объективного и всестороннего информирования жителей Департамент использует все форматы средств массовой информации: телевизионные </w:t>
        <w:br/>
        <w:t xml:space="preserve">и радиоэфиры, публикации в печатных изданиях, новостных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интернет-порталах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</w:t>
        <w:br/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и социальных сетях. </w:t>
      </w:r>
      <w:r>
        <w:rPr>
          <w:rFonts w:ascii="PT Astra Serif" w:hAnsi="PT Astra Serif" w:cs="PT Astra Serif"/>
          <w:highlight w:val="white"/>
        </w:rPr>
      </w:r>
      <w:r/>
    </w:p>
    <w:p>
      <w:pPr>
        <w:ind w:firstLine="0"/>
        <w:jc w:val="both"/>
        <w:spacing w:after="0" w:afterAutospacing="0" w:line="240" w:lineRule="auto"/>
        <w:rPr>
          <w:rFonts w:ascii="PT Astra Serif" w:hAnsi="PT Astra Serif" w:cs="PT Astra Serif"/>
          <w:sz w:val="26"/>
          <w:szCs w:val="26"/>
          <w:highlight w:val="whit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ab/>
        <w:t xml:space="preserve">В ре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гиональных средствах массовой информации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сделано 1739 информационных сообщения (81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тв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-сюжетов, 806 радиосообщений, 852 публикации </w:t>
        <w:br/>
        <w:t xml:space="preserve">в печатных изданиях и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интернет-порталах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)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о необходимости соблюдения правил пожарной безопасности в лесах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 и ответственности за их нарушение.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телевизионных эфирах региональных телерадиокомпаний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организована трансляция противопожарных роликов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.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эфире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8 радиостанций с охватом аудитории более 200000 человек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транслируются противопожарные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аудиоролики (14156)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. В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черте города и основных выездах в районы Томской области размещены противопожарные баннеры.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настоящее время различных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лесничествах области установлены 82 противопожарных аншлагов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, билбордов, стендов, плакатов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. </w:t>
      </w:r>
      <w:r>
        <w:rPr>
          <w:rFonts w:ascii="PT Astra Serif" w:hAnsi="PT Astra Serif" w:cs="PT Astra Serif"/>
          <w:highlight w:val="white"/>
        </w:rPr>
      </w:r>
      <w:r/>
    </w:p>
    <w:p>
      <w:pPr>
        <w:ind w:firstLine="0"/>
        <w:jc w:val="both"/>
        <w:spacing w:after="0" w:afterAutospacing="0" w:line="240" w:lineRule="auto"/>
        <w:rPr>
          <w:rFonts w:ascii="PT Astra Serif" w:hAnsi="PT Astra Serif" w:cs="PT Astra Serif"/>
          <w:sz w:val="26"/>
          <w:szCs w:val="26"/>
          <w:highlight w:val="whit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ab/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val="en-US" w:eastAsia="en-US"/>
        </w:rPr>
        <w:t xml:space="preserve">C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 целью усиления противопожа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р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ной пропаганды в районах Томской области сотрудниками лесничеств и школьных лесничеств среди местного населения проведено 61 открытый урок, 21 просветительских акций, а также 146 профилактических беседы о необходимости соблюдения лесного законодательства.</w:t>
      </w:r>
      <w:r>
        <w:rPr>
          <w:rFonts w:ascii="PT Astra Serif" w:hAnsi="PT Astra Serif" w:cs="PT Astra Serif"/>
          <w:highlight w:val="white"/>
        </w:rPr>
      </w:r>
      <w:r/>
    </w:p>
    <w:p>
      <w:pPr>
        <w:jc w:val="both"/>
        <w:spacing w:after="0" w:line="240" w:lineRule="auto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ab/>
        <w:t xml:space="preserve">С целью привлечения виновных лиц к ответственности за истекший период 2024 года направлены в правоохранительные органы 92 материала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 о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лесонарушениях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, по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результатам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 рассмотрения которых в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озбуждено 48 уголовных дел.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 З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а совершение незаконной рубки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и повреждение лесных насаждений привлечено к уголовной ответственности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16 лиц.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/>
    </w:p>
    <w:p>
      <w:pPr>
        <w:jc w:val="both"/>
        <w:spacing w:after="0" w:line="240" w:lineRule="auto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ab/>
        <w:t xml:space="preserve">За нарушение требований лесного законодательства должностными лицами Департамента в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истекшем периоде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2024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 года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привлечено к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административной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ответственност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и 96 ли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ц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.</w:t>
      </w:r>
      <w:r>
        <w:rPr>
          <w:rFonts w:ascii="PT Astra Serif" w:hAnsi="PT Astra Serif" w:cs="PT Astra Serif"/>
          <w:highlight w:val="white"/>
        </w:rPr>
      </w:r>
      <w:r/>
    </w:p>
    <w:p>
      <w:pPr>
        <w:ind w:firstLine="709"/>
        <w:jc w:val="center"/>
        <w:spacing w:after="0" w:line="240" w:lineRule="auto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highlight w:val="white"/>
        </w:rPr>
      </w:r>
      <w:r/>
    </w:p>
    <w:p>
      <w:pPr>
        <w:ind w:firstLine="709"/>
        <w:jc w:val="center"/>
        <w:spacing w:after="0" w:line="240" w:lineRule="auto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</w:r>
      <w:r>
        <w:rPr>
          <w:rFonts w:ascii="PT Astra Serif" w:hAnsi="PT Astra Serif" w:cs="PT Astra Serif"/>
          <w:highlight w:val="white"/>
        </w:rPr>
      </w:r>
      <w:r/>
    </w:p>
    <w:p>
      <w:pPr>
        <w:ind w:firstLine="709"/>
        <w:jc w:val="center"/>
        <w:spacing w:after="0" w:line="240" w:lineRule="auto"/>
        <w:rPr>
          <w:rFonts w:ascii="PT Astra Serif" w:hAnsi="PT Astra Serif" w:cs="PT Astra Serif"/>
          <w:b/>
          <w:bCs/>
          <w:sz w:val="26"/>
          <w:szCs w:val="26"/>
          <w:highlight w:val="white"/>
        </w:rPr>
      </w:pPr>
      <w:r>
        <w:rPr>
          <w:rFonts w:ascii="PT Astra Serif" w:hAnsi="PT Astra Serif" w:eastAsia="Times New Roman" w:cs="PT Astra Serif"/>
          <w:b/>
          <w:bCs/>
          <w:sz w:val="26"/>
          <w:szCs w:val="26"/>
          <w:highlight w:val="white"/>
          <w:lang w:val="en-US" w:eastAsia="ru-RU"/>
        </w:rPr>
        <w:t xml:space="preserve">II</w:t>
      </w:r>
      <w:r>
        <w:rPr>
          <w:rFonts w:ascii="PT Astra Serif" w:hAnsi="PT Astra Serif" w:eastAsia="Times New Roman" w:cs="PT Astra Serif"/>
          <w:b/>
          <w:bCs/>
          <w:sz w:val="26"/>
          <w:szCs w:val="26"/>
          <w:highlight w:val="white"/>
          <w:lang w:eastAsia="ru-RU"/>
        </w:rPr>
        <w:t xml:space="preserve">I </w:t>
      </w:r>
      <w:r>
        <w:rPr>
          <w:rFonts w:ascii="PT Astra Serif" w:hAnsi="PT Astra Serif" w:eastAsia="Times New Roman" w:cs="PT Astra Serif"/>
          <w:b/>
          <w:bCs/>
          <w:sz w:val="26"/>
          <w:szCs w:val="26"/>
          <w:highlight w:val="white"/>
          <w:lang w:eastAsia="ru-RU"/>
        </w:rPr>
        <w:t xml:space="preserve">Цели и задачи </w:t>
      </w:r>
      <w:r>
        <w:rPr>
          <w:rFonts w:ascii="PT Astra Serif" w:hAnsi="PT Astra Serif" w:eastAsia="Times New Roman" w:cs="PT Astra Serif"/>
          <w:b/>
          <w:bCs/>
          <w:sz w:val="26"/>
          <w:szCs w:val="26"/>
          <w:highlight w:val="white"/>
          <w:lang w:eastAsia="ru-RU"/>
        </w:rPr>
        <w:t xml:space="preserve">реализации программы профилактики</w:t>
      </w:r>
      <w:r>
        <w:rPr>
          <w:rFonts w:ascii="PT Astra Serif" w:hAnsi="PT Astra Serif" w:cs="PT Astra Serif"/>
          <w:b/>
          <w:bCs/>
          <w:sz w:val="26"/>
          <w:szCs w:val="26"/>
          <w:highlight w:val="white"/>
        </w:rPr>
      </w:r>
      <w:r/>
    </w:p>
    <w:p>
      <w:pPr>
        <w:ind w:firstLine="709"/>
        <w:jc w:val="center"/>
        <w:spacing w:after="0" w:line="240" w:lineRule="auto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</w:r>
      <w:r>
        <w:rPr>
          <w:rFonts w:ascii="PT Astra Serif" w:hAnsi="PT Astra Serif" w:cs="PT Astra Serif"/>
          <w:highlight w:val="white"/>
        </w:rPr>
      </w:r>
      <w:r/>
    </w:p>
    <w:p>
      <w:pPr>
        <w:jc w:val="both"/>
        <w:spacing w:after="0" w:line="240" w:lineRule="auto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ab/>
        <w:t xml:space="preserve">Мероприятия Программы профилактики рисков представляют собой комплекс мер, направленных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на достижение целей и решение основных задач Программы.</w:t>
      </w:r>
      <w:r>
        <w:rPr>
          <w:rFonts w:ascii="PT Astra Serif" w:hAnsi="PT Astra Serif" w:cs="PT Astra Serif"/>
          <w:highlight w:val="white"/>
        </w:rPr>
      </w:r>
      <w:r/>
    </w:p>
    <w:p>
      <w:pPr>
        <w:jc w:val="both"/>
        <w:spacing w:after="0" w:line="240" w:lineRule="auto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ab/>
        <w:t xml:space="preserve">Целями проведения профилактических мероприятий являются:</w:t>
      </w:r>
      <w:r>
        <w:rPr>
          <w:rFonts w:ascii="PT Astra Serif" w:hAnsi="PT Astra Serif" w:cs="PT Astra Serif"/>
          <w:highlight w:val="white"/>
        </w:rPr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- стимулирование добросовестного соблюдения обязательных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требований лесного законодательства всеми контролируемыми лицами;</w:t>
      </w:r>
      <w:r>
        <w:rPr>
          <w:rFonts w:ascii="PT Astra Serif" w:hAnsi="PT Astra Serif" w:cs="PT Astra Serif"/>
          <w:highlight w:val="white"/>
        </w:rPr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- устранение условий, причин и факторов, способных привести к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нарушениям обязательных требований лесного законодательства и (или)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причинению вреда (ущерба) охраняемым законом ценностям;</w:t>
      </w:r>
      <w:r>
        <w:rPr>
          <w:rFonts w:ascii="PT Astra Serif" w:hAnsi="PT Astra Serif" w:cs="PT Astra Serif"/>
          <w:highlight w:val="white"/>
        </w:rPr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- создание условий для доведения обязательных требований лесного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законодательства до контролируемых лиц, повышение информированности </w:t>
        <w:br/>
        <w:t xml:space="preserve">о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способах их соблюдения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;</w:t>
      </w:r>
      <w:r>
        <w:rPr>
          <w:rFonts w:ascii="PT Astra Serif" w:hAnsi="PT Astra Serif" w:cs="PT Astra Serif"/>
          <w:highlight w:val="white"/>
        </w:rPr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- повышение прозрачности системы федерального государственного контроля (надзора) в целом и контрольно-надзорной деятельности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Департамента</w:t>
        <w:br/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и его подведомственного учреждения ОГКУ «Томсклес»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;</w:t>
      </w:r>
      <w:r>
        <w:rPr>
          <w:rFonts w:ascii="PT Astra Serif" w:hAnsi="PT Astra Serif" w:cs="PT Astra Serif"/>
          <w:highlight w:val="white"/>
        </w:rPr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- снижение административных и финансовых издержек, как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Департамента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br/>
        <w:t xml:space="preserve">и его подведомственного учреждения ОГКУ «Томсклес»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, так и подконтрольных субъектов по сравнению с ведением контрольно-надзорной деятельности исключительно путем проведения контрольно-надзорных мероприятий;</w:t>
      </w:r>
      <w:r>
        <w:rPr>
          <w:rFonts w:ascii="PT Astra Serif" w:hAnsi="PT Astra Serif" w:cs="PT Astra Serif"/>
          <w:highlight w:val="white"/>
        </w:rPr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- снижение административной нагрузки на подконтрольные субъекты;</w:t>
      </w:r>
      <w:r>
        <w:rPr>
          <w:rFonts w:ascii="PT Astra Serif" w:hAnsi="PT Astra Serif" w:cs="PT Astra Serif"/>
          <w:highlight w:val="white"/>
        </w:rPr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- разъяснение подконтрольным субъектам обязательных требований.</w:t>
      </w:r>
      <w:r>
        <w:rPr>
          <w:rFonts w:ascii="PT Astra Serif" w:hAnsi="PT Astra Serif" w:cs="PT Astra Serif"/>
          <w:highlight w:val="white"/>
        </w:rPr>
      </w:r>
      <w:r/>
    </w:p>
    <w:p>
      <w:pPr>
        <w:jc w:val="both"/>
        <w:spacing w:after="0" w:line="240" w:lineRule="auto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ab/>
        <w:t xml:space="preserve">Проведение профилактических мероприятий позволит решить следующие задачи:</w:t>
      </w:r>
      <w:r>
        <w:rPr>
          <w:rFonts w:ascii="PT Astra Serif" w:hAnsi="PT Astra Serif" w:cs="PT Astra Serif"/>
          <w:highlight w:val="white"/>
        </w:rPr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- законное и обоснованное проведение контрольных (надзорных)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мероприятий, совершение контрольных (надзорных) действий, принятие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решений по результатам контрольных (надзорных) мероприятий;</w:t>
      </w:r>
      <w:r>
        <w:rPr>
          <w:rFonts w:ascii="PT Astra Serif" w:hAnsi="PT Astra Serif" w:cs="PT Astra Serif"/>
          <w:highlight w:val="white"/>
        </w:rPr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- проведение профилактических мероприятий, направленных на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снижение риска причинения вреда (ущерба) и обеспечение стимула к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добросовестному соблюдению обязательных требований лесного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законодательства и минимизацию потенциальной выгоды от нарушений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обязательных требований;</w:t>
      </w:r>
      <w:r>
        <w:rPr>
          <w:rFonts w:ascii="PT Astra Serif" w:hAnsi="PT Astra Serif" w:cs="PT Astra Serif"/>
          <w:highlight w:val="white"/>
        </w:rPr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- ограничение только теми контрольными (надзорными)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мероприятиями </w:t>
        <w:br/>
        <w:t xml:space="preserve">и контрольными (надзорными) действиями, которые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необходимы для обеспечения соблюдения обязательных требований лесного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законодательства;</w:t>
      </w:r>
      <w:r>
        <w:rPr>
          <w:rFonts w:ascii="PT Astra Serif" w:hAnsi="PT Astra Serif" w:cs="PT Astra Serif"/>
          <w:highlight w:val="white"/>
        </w:rPr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- недопущение причинения неправомерного вреда (ущерба)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контролируемым лицам, их представителям, либо имуществу, находящемуся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в их владении, пользовании или распоряжении, либо их деловой репутации;</w:t>
      </w:r>
      <w:r>
        <w:rPr>
          <w:rFonts w:ascii="PT Astra Serif" w:hAnsi="PT Astra Serif" w:cs="PT Astra Serif"/>
          <w:highlight w:val="white"/>
        </w:rPr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- охрана прав и законных интересов, уважение достоинства личности,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деловой репутации контролируемых лиц;</w:t>
      </w:r>
      <w:r>
        <w:rPr>
          <w:rFonts w:ascii="PT Astra Serif" w:hAnsi="PT Astra Serif" w:cs="PT Astra Serif"/>
          <w:highlight w:val="white"/>
        </w:rPr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- недопустимость злоупотребления правом;</w:t>
      </w:r>
      <w:r>
        <w:rPr>
          <w:rFonts w:ascii="PT Astra Serif" w:hAnsi="PT Astra Serif" w:cs="PT Astra Serif"/>
          <w:highlight w:val="white"/>
        </w:rPr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- соблюдение охраняемой законом тайны;</w:t>
      </w:r>
      <w:r>
        <w:rPr>
          <w:rFonts w:ascii="PT Astra Serif" w:hAnsi="PT Astra Serif" w:cs="PT Astra Serif"/>
          <w:highlight w:val="white"/>
        </w:rPr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- открытость и доступность информации об организации и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осуществлении государственного лесного контроля;</w:t>
      </w:r>
      <w:r>
        <w:rPr>
          <w:rFonts w:ascii="PT Astra Serif" w:hAnsi="PT Astra Serif" w:cs="PT Astra Serif"/>
          <w:highlight w:val="white"/>
        </w:rPr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- оперативность проведения контрольного (надзорного) мероприятия </w:t>
        <w:br/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при осуществлении государственного лесного контроля.</w:t>
      </w:r>
      <w:r>
        <w:rPr>
          <w:rFonts w:ascii="PT Astra Serif" w:hAnsi="PT Astra Serif" w:cs="PT Astra Serif"/>
          <w:highlight w:val="white"/>
        </w:rPr>
      </w:r>
      <w:r/>
    </w:p>
    <w:p>
      <w:pPr>
        <w:ind w:firstLine="0"/>
        <w:jc w:val="both"/>
        <w:spacing w:after="0" w:line="240" w:lineRule="auto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  <w:tab/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Настоящая Программа профилактики рисков призвана обеспечить создание условий для снижения случаев нарушений в области лесных отношений, формирования заинтересованности подконтрольных субъектов в соблюдении обязательных требований лесного законодательства.</w:t>
      </w:r>
      <w:r>
        <w:rPr>
          <w:rFonts w:ascii="PT Astra Serif" w:hAnsi="PT Astra Serif" w:cs="PT Astra Serif"/>
          <w:highlight w:val="white"/>
        </w:rPr>
      </w:r>
      <w:r/>
    </w:p>
    <w:p>
      <w:pPr>
        <w:ind w:firstLine="709"/>
        <w:jc w:val="center"/>
        <w:spacing w:after="0" w:line="240" w:lineRule="auto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/>
    </w:p>
    <w:p>
      <w:pPr>
        <w:ind w:firstLine="709"/>
        <w:jc w:val="center"/>
        <w:spacing w:after="0" w:line="240" w:lineRule="auto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</w:r>
      <w:r>
        <w:rPr>
          <w:rFonts w:ascii="PT Astra Serif" w:hAnsi="PT Astra Serif" w:cs="PT Astra Serif"/>
          <w:highlight w:val="white"/>
        </w:rPr>
      </w:r>
      <w:r/>
    </w:p>
    <w:p>
      <w:pPr>
        <w:ind w:firstLine="709"/>
        <w:jc w:val="center"/>
        <w:spacing w:after="0" w:line="240" w:lineRule="auto"/>
        <w:rPr>
          <w:rFonts w:ascii="PT Astra Serif" w:hAnsi="PT Astra Serif" w:cs="PT Astra Serif"/>
          <w:b/>
          <w:bCs/>
          <w:highlight w:val="white"/>
        </w:rPr>
      </w:pPr>
      <w:r>
        <w:rPr>
          <w:rFonts w:ascii="PT Astra Serif" w:hAnsi="PT Astra Serif" w:eastAsia="Times New Roman" w:cs="PT Astra Serif"/>
          <w:b/>
          <w:bCs/>
          <w:sz w:val="26"/>
          <w:szCs w:val="26"/>
          <w:highlight w:val="white"/>
          <w:lang w:eastAsia="ru-RU"/>
        </w:rPr>
        <w:t xml:space="preserve">I</w:t>
      </w:r>
      <w:r>
        <w:rPr>
          <w:rFonts w:ascii="PT Astra Serif" w:hAnsi="PT Astra Serif" w:eastAsia="Times New Roman" w:cs="PT Astra Serif"/>
          <w:b/>
          <w:bCs/>
          <w:sz w:val="26"/>
          <w:szCs w:val="26"/>
          <w:highlight w:val="white"/>
          <w:lang w:val="en-US" w:eastAsia="ru-RU"/>
        </w:rPr>
        <w:t xml:space="preserve">V</w:t>
      </w:r>
      <w:r>
        <w:rPr>
          <w:rFonts w:ascii="PT Astra Serif" w:hAnsi="PT Astra Serif" w:eastAsia="Times New Roman" w:cs="PT Astra Serif"/>
          <w:b/>
          <w:bCs/>
          <w:sz w:val="26"/>
          <w:szCs w:val="26"/>
          <w:highlight w:val="white"/>
          <w:lang w:eastAsia="ru-RU"/>
        </w:rPr>
        <w:t xml:space="preserve"> </w:t>
      </w:r>
      <w:r>
        <w:rPr>
          <w:rFonts w:ascii="PT Astra Serif" w:hAnsi="PT Astra Serif" w:eastAsia="Times New Roman" w:cs="PT Astra Serif"/>
          <w:b/>
          <w:bCs/>
          <w:sz w:val="26"/>
          <w:szCs w:val="26"/>
          <w:highlight w:val="white"/>
          <w:lang w:eastAsia="ru-RU"/>
        </w:rPr>
        <w:t xml:space="preserve">Перечень профилактических мероприятий, </w:t>
      </w:r>
      <w:r>
        <w:rPr>
          <w:rFonts w:ascii="PT Astra Serif" w:hAnsi="PT Astra Serif" w:eastAsia="Times New Roman" w:cs="PT Astra Serif"/>
          <w:b/>
          <w:bCs/>
          <w:sz w:val="26"/>
          <w:szCs w:val="26"/>
          <w:highlight w:val="white"/>
          <w:lang w:eastAsia="ru-RU"/>
        </w:rPr>
        <w:t xml:space="preserve">сроки (периодичность) их проведения</w:t>
      </w:r>
      <w:r>
        <w:rPr>
          <w:rFonts w:ascii="PT Astra Serif" w:hAnsi="PT Astra Serif" w:cs="PT Astra Serif"/>
          <w:b/>
          <w:bCs/>
          <w:highlight w:val="white"/>
        </w:rPr>
      </w:r>
      <w:r/>
    </w:p>
    <w:p>
      <w:pPr>
        <w:ind w:firstLine="540"/>
        <w:jc w:val="center"/>
        <w:spacing w:after="0" w:line="240" w:lineRule="auto"/>
        <w:rPr>
          <w:rFonts w:ascii="PT Astra Serif" w:hAnsi="PT Astra Serif" w:cs="PT Astra Serif"/>
          <w:b/>
          <w:bCs/>
          <w:sz w:val="26"/>
          <w:szCs w:val="26"/>
          <w:highlight w:val="white"/>
        </w:rPr>
      </w:pPr>
      <w:r>
        <w:rPr>
          <w:rFonts w:ascii="PT Astra Serif" w:hAnsi="PT Astra Serif" w:cs="PT Astra Serif"/>
          <w:b/>
          <w:bCs/>
          <w:sz w:val="26"/>
          <w:szCs w:val="26"/>
          <w:highlight w:val="white"/>
        </w:rPr>
      </w:r>
      <w:r>
        <w:rPr>
          <w:rFonts w:ascii="PT Astra Serif" w:hAnsi="PT Astra Serif" w:cs="PT Astra Serif"/>
          <w:b/>
          <w:bCs/>
          <w:sz w:val="26"/>
          <w:szCs w:val="26"/>
          <w:highlight w:val="white"/>
        </w:rPr>
      </w:r>
      <w:r/>
    </w:p>
    <w:p>
      <w:pPr>
        <w:ind w:firstLine="0"/>
        <w:jc w:val="both"/>
        <w:spacing w:after="0" w:line="240" w:lineRule="auto"/>
        <w:rPr>
          <w:rFonts w:ascii="PT Astra Serif" w:hAnsi="PT Astra Serif" w:cs="PT Astra Serif"/>
          <w:b w:val="0"/>
          <w:bCs w:val="0"/>
          <w:highlight w:val="white"/>
        </w:rPr>
      </w:pP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  <w:tab/>
        <w:t xml:space="preserve">Порядок проведения профилактических мероприятий определяется разделом IV Федерального закона № 248-ФЗ, П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  <w:t xml:space="preserve">оложением № 1098.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/>
    </w:p>
    <w:p>
      <w:pPr>
        <w:ind w:firstLine="0"/>
        <w:jc w:val="both"/>
        <w:spacing w:after="0" w:line="240" w:lineRule="auto"/>
        <w:rPr>
          <w:rFonts w:ascii="PT Astra Serif" w:hAnsi="PT Astra Serif" w:cs="PT Astra Serif"/>
          <w:b w:val="0"/>
          <w:bCs w:val="0"/>
          <w:highlight w:val="white"/>
        </w:rPr>
      </w:pP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  <w:tab/>
        <w:t xml:space="preserve">В рамках осуществления государственного надзора проводятся следующие профилактические мероприятия: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/>
    </w:p>
    <w:p>
      <w:pPr>
        <w:ind w:firstLine="540"/>
        <w:jc w:val="both"/>
        <w:spacing w:after="0" w:line="240" w:lineRule="auto"/>
        <w:rPr>
          <w:rFonts w:ascii="PT Astra Serif" w:hAnsi="PT Astra Serif" w:cs="PT Astra Serif"/>
          <w:b w:val="0"/>
          <w:bCs w:val="0"/>
          <w:highlight w:val="white"/>
        </w:rPr>
      </w:pP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  <w:t xml:space="preserve">а) информирование;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/>
    </w:p>
    <w:p>
      <w:pPr>
        <w:ind w:firstLine="540"/>
        <w:jc w:val="both"/>
        <w:spacing w:after="0" w:line="240" w:lineRule="auto"/>
        <w:rPr>
          <w:rFonts w:ascii="PT Astra Serif" w:hAnsi="PT Astra Serif" w:cs="PT Astra Serif"/>
          <w:b w:val="0"/>
          <w:bCs w:val="0"/>
          <w:highlight w:val="white"/>
        </w:rPr>
      </w:pP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  <w:t xml:space="preserve">б) обобщение правоприменительной практики;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/>
    </w:p>
    <w:p>
      <w:pPr>
        <w:ind w:firstLine="540"/>
        <w:jc w:val="both"/>
        <w:spacing w:after="0" w:line="240" w:lineRule="auto"/>
        <w:rPr>
          <w:rFonts w:ascii="PT Astra Serif" w:hAnsi="PT Astra Serif" w:cs="PT Astra Serif"/>
          <w:b w:val="0"/>
          <w:bCs w:val="0"/>
          <w:highlight w:val="white"/>
        </w:rPr>
      </w:pP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  <w:t xml:space="preserve">в) объявление предостережения;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/>
    </w:p>
    <w:p>
      <w:pPr>
        <w:ind w:firstLine="540"/>
        <w:jc w:val="both"/>
        <w:spacing w:after="0" w:line="240" w:lineRule="auto"/>
        <w:rPr>
          <w:rFonts w:ascii="PT Astra Serif" w:hAnsi="PT Astra Serif" w:cs="PT Astra Serif"/>
          <w:b w:val="0"/>
          <w:bCs w:val="0"/>
          <w:highlight w:val="white"/>
        </w:rPr>
      </w:pP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  <w:t xml:space="preserve">г) консультирование;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/>
    </w:p>
    <w:p>
      <w:pPr>
        <w:ind w:firstLine="540"/>
        <w:jc w:val="both"/>
        <w:spacing w:after="0" w:line="240" w:lineRule="auto"/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  <w:t xml:space="preserve">д) профилактический визит.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/>
    </w:p>
    <w:p>
      <w:pPr>
        <w:ind w:firstLine="540"/>
        <w:jc w:val="center"/>
        <w:spacing w:after="0" w:line="240" w:lineRule="auto"/>
        <w:rPr>
          <w:rFonts w:ascii="PT Astra Serif" w:hAnsi="PT Astra Serif" w:cs="PT Astra Serif"/>
          <w:b/>
          <w:bCs/>
          <w:sz w:val="26"/>
          <w:szCs w:val="26"/>
          <w:highlight w:val="white"/>
        </w:rPr>
      </w:pPr>
      <w:r>
        <w:rPr>
          <w:rFonts w:ascii="PT Astra Serif" w:hAnsi="PT Astra Serif" w:eastAsia="Times New Roman" w:cs="PT Astra Serif"/>
          <w:b/>
          <w:bCs/>
          <w:sz w:val="26"/>
          <w:szCs w:val="26"/>
          <w:highlight w:val="white"/>
          <w:lang w:eastAsia="ru-RU"/>
        </w:rPr>
      </w:r>
      <w:r>
        <w:rPr>
          <w:rFonts w:ascii="PT Astra Serif" w:hAnsi="PT Astra Serif" w:cs="PT Astra Serif"/>
          <w:b/>
          <w:bCs/>
          <w:highlight w:val="white"/>
        </w:rPr>
      </w:r>
      <w:r/>
    </w:p>
    <w:tbl>
      <w:tblPr>
        <w:tblW w:w="10083" w:type="dxa"/>
        <w:jc w:val="center"/>
        <w:tblInd w:w="-15" w:type="dxa"/>
        <w:tblLayout w:type="fixed"/>
        <w:tblLook w:val="04A0" w:firstRow="1" w:lastRow="0" w:firstColumn="1" w:lastColumn="0" w:noHBand="0" w:noVBand="1"/>
      </w:tblPr>
      <w:tblGrid>
        <w:gridCol w:w="567"/>
        <w:gridCol w:w="4819"/>
        <w:gridCol w:w="2206"/>
        <w:gridCol w:w="2490"/>
      </w:tblGrid>
      <w:tr>
        <w:trPr>
          <w:jc w:val="center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5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№ </w:t>
            </w: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п</w:t>
            </w: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/п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48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Наименование мероприятия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220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Срок реализации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9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Ответственные исполнители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</w:tr>
      <w:tr>
        <w:trPr>
          <w:jc w:val="center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5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bCs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1.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48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Информирование.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Информирование контролируемых лиц по вопросам соблюдения обязательных требований, в том числе посредством: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bCs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- проведения семинаров </w:t>
            </w: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и конференций;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bCs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- разъяснительной работы </w:t>
            </w: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в средствах массовой информации;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bCs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- распространения комментариев</w:t>
              <w:br/>
              <w:t xml:space="preserve">о содержании новых нормативных правовых актов, устанавливающих обязательные требования, внесенных изменениях </w:t>
            </w: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в действующие нормативные правовые акты, сроках</w:t>
              <w:br/>
            </w: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и порядке вступления </w:t>
            </w: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их в действие; 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bCs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- распространения рекомендаций</w:t>
              <w:br/>
              <w:t xml:space="preserve">о проведении необходимых организационных, технических мероприятий, направленных </w:t>
              <w:br/>
              <w:t xml:space="preserve">на внедрение</w:t>
            </w: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 </w:t>
            </w: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и обеспечение соблюдения обязательных требований.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bCs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highlight w:val="white"/>
              </w:rPr>
              <w:t xml:space="preserve">Осуществляется посредством размещения сведений, касающихся осуществления государственного контроля (надзора), на официальном сайте Департамента,</w:t>
            </w:r>
            <w:r>
              <w:rPr>
                <w:rFonts w:ascii="PT Astra Serif" w:hAnsi="PT Astra Serif" w:cs="PT Astra Serif" w:eastAsiaTheme="minorHAnsi"/>
                <w:sz w:val="26"/>
                <w:szCs w:val="26"/>
                <w:highlight w:val="white"/>
              </w:rPr>
              <w:t xml:space="preserve"> </w:t>
            </w:r>
            <w:r>
              <w:rPr>
                <w:rFonts w:ascii="PT Astra Serif" w:hAnsi="PT Astra Serif" w:cs="PT Astra Serif" w:eastAsiaTheme="minorHAnsi"/>
                <w:sz w:val="26"/>
                <w:szCs w:val="26"/>
                <w:highlight w:val="white"/>
              </w:rPr>
              <w:t xml:space="preserve">в средствах массовой информации, в иных формах</w:t>
            </w:r>
            <w:r>
              <w:rPr>
                <w:rFonts w:ascii="PT Astra Serif" w:hAnsi="PT Astra Serif" w:cs="PT Astra Serif" w:eastAsiaTheme="minorHAnsi"/>
                <w:sz w:val="26"/>
                <w:szCs w:val="26"/>
                <w:highlight w:val="white"/>
              </w:rPr>
              <w:t xml:space="preserve">.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220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bCs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В течение календарного года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9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Комитет лесного контроля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Lucida Sans Unicode" w:cs="PT Astra Serif"/>
                <w:sz w:val="26"/>
                <w:szCs w:val="26"/>
                <w:highlight w:val="white"/>
                <w:lang w:eastAsia="zh-CN" w:bidi="hi-IN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Lucida Sans Unicode" w:cs="PT Astra Serif"/>
                <w:sz w:val="26"/>
                <w:szCs w:val="26"/>
                <w:highlight w:val="white"/>
                <w:lang w:eastAsia="zh-CN" w:bidi="hi-IN"/>
              </w:rPr>
              <w:t xml:space="preserve">ОГКУ «Томсклес»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</w:tr>
      <w:tr>
        <w:trPr>
          <w:jc w:val="center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5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bCs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2.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48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bCs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Обобщение правоприменительной практики.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highlight w:val="white"/>
              </w:rPr>
              <w:t xml:space="preserve">Осуществляется посредством подготовки органами государственного надзора ежегодного доклада </w:t>
              <w:br/>
            </w:r>
            <w:r>
              <w:rPr>
                <w:rFonts w:ascii="PT Astra Serif" w:hAnsi="PT Astra Serif" w:cs="PT Astra Serif" w:eastAsiaTheme="minorHAnsi"/>
                <w:sz w:val="26"/>
                <w:szCs w:val="26"/>
                <w:highlight w:val="white"/>
              </w:rPr>
              <w:t xml:space="preserve">об </w:t>
            </w: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осуществлении федерального государственного </w:t>
            </w: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лесного контроля (надзора) </w:t>
            </w: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на территории Томской области с указанием наиболее часто встречающихся нарушений обязательных требований лесного законодательства </w:t>
            </w: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с рекомендациями </w:t>
              <w:br/>
              <w:t xml:space="preserve">в отношении мер, которые должны приниматься юридическими лицами </w:t>
              <w:br/>
              <w:t xml:space="preserve">и индивидуальными предпринимателями в целях недопущения таких нарушений</w:t>
            </w:r>
            <w:r>
              <w:rPr>
                <w:rFonts w:ascii="PT Astra Serif" w:hAnsi="PT Astra Serif" w:cs="PT Astra Serif" w:eastAsiaTheme="minorHAnsi"/>
                <w:sz w:val="26"/>
                <w:szCs w:val="26"/>
                <w:highlight w:val="white"/>
              </w:rPr>
              <w:t xml:space="preserve">, который утверждается распоряжением начальника Департамента и ежегодно,</w:t>
            </w:r>
            <w:r>
              <w:rPr>
                <w:rFonts w:ascii="PT Astra Serif" w:hAnsi="PT Astra Serif" w:cs="PT Astra Serif" w:eastAsiaTheme="minorHAnsi"/>
                <w:sz w:val="26"/>
                <w:szCs w:val="26"/>
                <w:highlight w:val="white"/>
              </w:rPr>
              <w:br/>
            </w:r>
            <w:r>
              <w:rPr>
                <w:rFonts w:ascii="PT Astra Serif" w:hAnsi="PT Astra Serif" w:cs="PT Astra Serif" w:eastAsiaTheme="minorHAnsi"/>
                <w:sz w:val="26"/>
                <w:szCs w:val="26"/>
                <w:highlight w:val="white"/>
              </w:rPr>
              <w:t xml:space="preserve">до 1 апреля года, следующего</w:t>
            </w:r>
            <w:r>
              <w:rPr>
                <w:rFonts w:ascii="PT Astra Serif" w:hAnsi="PT Astra Serif" w:cs="PT Astra Serif" w:eastAsiaTheme="minorHAnsi"/>
                <w:sz w:val="26"/>
                <w:szCs w:val="26"/>
                <w:highlight w:val="white"/>
              </w:rPr>
              <w:br/>
            </w:r>
            <w:r>
              <w:rPr>
                <w:rFonts w:ascii="PT Astra Serif" w:hAnsi="PT Astra Serif" w:cs="PT Astra Serif" w:eastAsiaTheme="minorHAnsi"/>
                <w:sz w:val="26"/>
                <w:szCs w:val="26"/>
                <w:highlight w:val="white"/>
              </w:rPr>
              <w:t xml:space="preserve">за</w:t>
            </w:r>
            <w:r>
              <w:rPr>
                <w:rFonts w:ascii="PT Astra Serif" w:hAnsi="PT Astra Serif" w:cs="PT Astra Serif" w:eastAsiaTheme="minorHAnsi"/>
                <w:sz w:val="26"/>
                <w:szCs w:val="26"/>
                <w:highlight w:val="white"/>
              </w:rPr>
              <w:t xml:space="preserve"> </w:t>
            </w:r>
            <w:r>
              <w:rPr>
                <w:rFonts w:ascii="PT Astra Serif" w:hAnsi="PT Astra Serif" w:cs="PT Astra Serif" w:eastAsiaTheme="minorHAnsi"/>
                <w:sz w:val="26"/>
                <w:szCs w:val="26"/>
                <w:highlight w:val="white"/>
              </w:rPr>
              <w:t xml:space="preserve">отчетным,</w:t>
            </w:r>
            <w:r>
              <w:rPr>
                <w:rFonts w:ascii="PT Astra Serif" w:hAnsi="PT Astra Serif" w:cs="PT Astra Serif" w:eastAsiaTheme="minorHAnsi"/>
                <w:sz w:val="26"/>
                <w:szCs w:val="26"/>
                <w:highlight w:val="white"/>
              </w:rPr>
              <w:t xml:space="preserve"> размещается</w:t>
              <w:br/>
            </w:r>
            <w:r>
              <w:rPr>
                <w:rFonts w:ascii="PT Astra Serif" w:hAnsi="PT Astra Serif" w:cs="PT Astra Serif" w:eastAsiaTheme="minorHAnsi"/>
                <w:sz w:val="26"/>
                <w:szCs w:val="26"/>
                <w:highlight w:val="white"/>
              </w:rPr>
              <w:t xml:space="preserve">на </w:t>
            </w: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официальном сайте Департамента</w:t>
            </w: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.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220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Не реже 1 раза в год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9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highlight w:val="white"/>
              </w:rPr>
            </w:pP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Комитет лесного контроля</w:t>
            </w:r>
            <w:r>
              <w:rPr>
                <w:highlight w:val="white"/>
              </w:rPr>
            </w:r>
            <w:r/>
          </w:p>
          <w:p>
            <w:pPr>
              <w:jc w:val="both"/>
              <w:spacing w:after="0" w:line="240" w:lineRule="auto"/>
              <w:rPr>
                <w:highlight w:val="white"/>
              </w:rPr>
            </w:pPr>
            <w:r>
              <w:rPr>
                <w:rFonts w:ascii="PT Astra Serif" w:hAnsi="PT Astra Serif" w:eastAsia="Lucida Sans Unicode" w:cs="PT Astra Serif"/>
                <w:sz w:val="26"/>
                <w:szCs w:val="26"/>
                <w:highlight w:val="white"/>
                <w:lang w:eastAsia="zh-CN" w:bidi="hi-IN"/>
              </w:rPr>
            </w:r>
            <w:r>
              <w:rPr>
                <w:highlight w:val="white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Lucida Sans Unicode" w:cs="PT Astra Serif"/>
                <w:sz w:val="26"/>
                <w:szCs w:val="26"/>
                <w:highlight w:val="white"/>
                <w:lang w:eastAsia="zh-CN" w:bidi="hi-IN"/>
              </w:rPr>
              <w:t xml:space="preserve">ОГКУ «Томсклес»</w:t>
            </w:r>
            <w:r>
              <w:rPr>
                <w:highlight w:val="white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</w:tr>
      <w:tr>
        <w:trPr>
          <w:jc w:val="center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5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bCs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3.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481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highlight w:val="white"/>
              </w:rPr>
              <w:t xml:space="preserve">Объявление предостережения.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Объявление</w:t>
            </w:r>
            <w:r>
              <w:rPr>
                <w:rFonts w:ascii="PT Astra Serif" w:hAnsi="PT Astra Serif" w:cs="PT Astra Serif" w:eastAsiaTheme="minorHAnsi"/>
                <w:sz w:val="26"/>
                <w:szCs w:val="26"/>
                <w:highlight w:val="white"/>
              </w:rPr>
              <w:t xml:space="preserve"> контролируемому лицу предостережения о недопустимости нарушения обязательных требований</w:t>
              <w:br/>
              <w:t xml:space="preserve">с предложением принять меры </w:t>
              <w:br/>
              <w:t xml:space="preserve">по обеспечению соблюдения обязательных требований.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220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При наличии сведений</w:t>
            </w:r>
            <w:r>
              <w:rPr>
                <w:rFonts w:ascii="PT Astra Serif" w:hAnsi="PT Astra Serif" w:cs="PT Astra Serif" w:eastAsiaTheme="minorHAnsi"/>
                <w:sz w:val="26"/>
                <w:szCs w:val="26"/>
                <w:highlight w:val="white"/>
              </w:rPr>
              <w:t xml:space="preserve"> о готовящихся нарушениях обязательных требований или признаках нарушений обяза</w:t>
            </w:r>
            <w:r>
              <w:rPr>
                <w:rFonts w:ascii="PT Astra Serif" w:hAnsi="PT Astra Serif" w:cs="PT Astra Serif" w:eastAsiaTheme="minorHAnsi"/>
                <w:sz w:val="26"/>
                <w:szCs w:val="26"/>
                <w:highlight w:val="white"/>
              </w:rPr>
              <w:t xml:space="preserve">тельных требований и (или) при отсутствии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ценностям.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9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highlight w:val="white"/>
              </w:rPr>
            </w:pP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Комитет лесного контроля</w:t>
            </w:r>
            <w:r>
              <w:rPr>
                <w:highlight w:val="white"/>
              </w:rPr>
            </w:r>
            <w:r/>
          </w:p>
          <w:p>
            <w:pPr>
              <w:jc w:val="both"/>
              <w:spacing w:after="0" w:line="240" w:lineRule="auto"/>
              <w:rPr>
                <w:highlight w:val="white"/>
              </w:rPr>
            </w:pPr>
            <w:r>
              <w:rPr>
                <w:rFonts w:ascii="PT Astra Serif" w:hAnsi="PT Astra Serif" w:eastAsia="Lucida Sans Unicode" w:cs="PT Astra Serif"/>
                <w:sz w:val="26"/>
                <w:szCs w:val="26"/>
                <w:highlight w:val="white"/>
                <w:lang w:eastAsia="zh-CN" w:bidi="hi-IN"/>
              </w:rPr>
            </w:r>
            <w:r>
              <w:rPr>
                <w:highlight w:val="white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Lucida Sans Unicode" w:cs="PT Astra Serif"/>
                <w:sz w:val="26"/>
                <w:szCs w:val="26"/>
                <w:highlight w:val="white"/>
                <w:lang w:eastAsia="zh-CN" w:bidi="hi-IN"/>
              </w:rPr>
              <w:t xml:space="preserve">ОГКУ «Томсклес»</w:t>
            </w:r>
            <w:r>
              <w:rPr>
                <w:highlight w:val="white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</w:tr>
      <w:tr>
        <w:trPr>
          <w:jc w:val="center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5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bCs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4.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481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Консультирование.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  <w:p>
            <w:pPr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Проводится по вопросам: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bCs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- разъяснени</w:t>
            </w: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я</w:t>
            </w: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 положений нормативных правовых актов, содержащих обязательные требования, оценка соблюдения которых осуществляется</w:t>
              <w:br/>
              <w:t xml:space="preserve">в рамках государственного контроля (надзора);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bCs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- разъяснени</w:t>
            </w: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я</w:t>
            </w: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 положений нормативных правовых актов, </w:t>
            </w: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регламентирующих порядок осуществления государственного контроля (надзора);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bCs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- </w:t>
            </w: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о </w:t>
            </w: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поряд</w:t>
            </w: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ке</w:t>
            </w: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 обжалования решений органов государственного надзора, действий (бездействия) государственных лесных инспекторов.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bCs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Осуществляется должностными лицами Департамента по телефону,</w:t>
              <w:br/>
              <w:t xml:space="preserve">в письменной форме, на личном приеме либо в ходе проведения профилактического мероприятия, контрольного (надзорного) мероприятия.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22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При поступлении соответствующих обращений</w:t>
            </w: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.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9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highlight w:val="white"/>
              </w:rPr>
            </w:pP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Комитет лесного контроля</w:t>
            </w:r>
            <w:r>
              <w:rPr>
                <w:highlight w:val="white"/>
              </w:rPr>
            </w:r>
            <w:r/>
          </w:p>
          <w:p>
            <w:pPr>
              <w:jc w:val="both"/>
              <w:spacing w:after="0" w:line="240" w:lineRule="auto"/>
              <w:rPr>
                <w:highlight w:val="white"/>
              </w:rPr>
            </w:pPr>
            <w:r>
              <w:rPr>
                <w:rFonts w:ascii="PT Astra Serif" w:hAnsi="PT Astra Serif" w:eastAsia="Lucida Sans Unicode" w:cs="PT Astra Serif"/>
                <w:sz w:val="26"/>
                <w:szCs w:val="26"/>
                <w:highlight w:val="white"/>
                <w:lang w:eastAsia="zh-CN" w:bidi="hi-IN"/>
              </w:rPr>
            </w:r>
            <w:r>
              <w:rPr>
                <w:highlight w:val="white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Lucida Sans Unicode" w:cs="PT Astra Serif"/>
                <w:sz w:val="26"/>
                <w:szCs w:val="26"/>
                <w:highlight w:val="white"/>
                <w:lang w:eastAsia="zh-CN" w:bidi="hi-IN"/>
              </w:rPr>
              <w:t xml:space="preserve">ОГКУ «Томсклес»</w:t>
            </w:r>
            <w:r>
              <w:rPr>
                <w:highlight w:val="white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</w:tr>
      <w:tr>
        <w:trPr>
          <w:jc w:val="center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5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bCs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5.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481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outlineLvl w:val="2"/>
            </w:pPr>
            <w:r>
              <w:rPr>
                <w:rFonts w:ascii="PT Astra Serif" w:hAnsi="PT Astra Serif" w:cs="PT Astra Serif"/>
                <w:sz w:val="26"/>
                <w:szCs w:val="26"/>
                <w:highlight w:val="white"/>
                <w:lang w:eastAsia="ru-RU"/>
              </w:rPr>
              <w:t xml:space="preserve">Профилактический визит.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outlineLvl w:val="2"/>
            </w:pP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t xml:space="preserve">Обязательный профилактический визит проводится в отношении объектов контроля, отнесенных к категории умеренного риска 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t xml:space="preserve">и в отношении контролируемых лиц, впервые приступающих 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t xml:space="preserve">к осуществлению использования лесов и (или) лесных участков, части лесных участков.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outlineLvl w:val="2"/>
            </w:pP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t xml:space="preserve">О проведении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t xml:space="preserve"> 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t xml:space="preserve">профилактического визита контролируемое лицо уведомляется контролирующим органом не 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t xml:space="preserve">позднее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t xml:space="preserve"> чем 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t xml:space="preserve">за 5 рабочих дней до дня его проведения в письменной форме </w:t>
              <w:br/>
              <w:t xml:space="preserve">на бумажном носителе почтовым отправлением либо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t xml:space="preserve"> в форме электронного документа, подписанного электронной подписью.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outlineLvl w:val="2"/>
            </w:pP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t xml:space="preserve">Контролируемое лицо вправе отказаться от проведения обязательного профилактического визита, уведомив об этом государственного лесного инспектора, направившего уведомление о проведении обязательного 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t xml:space="preserve">профилактического визита 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t xml:space="preserve">в письменной форме 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t xml:space="preserve">на бумажном носителе почтовым отправлением либо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t xml:space="preserve"> в форме электронного документа, подписанного электронной подписью, не 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t xml:space="preserve">позднее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t xml:space="preserve"> чем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t xml:space="preserve"> 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t xml:space="preserve">за 3 рабочих дня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t xml:space="preserve"> 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t xml:space="preserve">до дня его проведения.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outlineLvl w:val="2"/>
            </w:pP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t xml:space="preserve">Срок проведения профилактического визита определяется государственным лесным инспектором самостоятельно</w:t>
              <w:br/>
              <w:t xml:space="preserve">и не может превышать 1 рабочий день.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outlineLvl w:val="2"/>
            </w:pP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t xml:space="preserve">Профилактический визит проводится государственным лесным инспектором</w:t>
              <w:br/>
              <w:t xml:space="preserve">в форме профилактической беседы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br/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t xml:space="preserve">по месту осуществления деятельности контролируемого лица либо путем использования видео-конференц-связи.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220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outlineLvl w:val="2"/>
            </w:pPr>
            <w:r>
              <w:rPr>
                <w:rFonts w:ascii="PT Astra Serif" w:hAnsi="PT Astra Serif" w:cs="PT Astra Serif"/>
                <w:sz w:val="26"/>
                <w:szCs w:val="26"/>
                <w:highlight w:val="white"/>
                <w:lang w:eastAsia="ru-RU"/>
              </w:rPr>
              <w:t xml:space="preserve">В течение календарного года</w:t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9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highlight w:val="white"/>
              </w:rPr>
            </w:pP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Комитет лесного контроля</w:t>
            </w:r>
            <w:r>
              <w:rPr>
                <w:highlight w:val="white"/>
              </w:rPr>
            </w:r>
            <w:r/>
          </w:p>
          <w:p>
            <w:pPr>
              <w:jc w:val="both"/>
              <w:spacing w:after="0" w:line="240" w:lineRule="auto"/>
              <w:rPr>
                <w:highlight w:val="white"/>
              </w:rPr>
            </w:pPr>
            <w:r>
              <w:rPr>
                <w:rFonts w:ascii="PT Astra Serif" w:hAnsi="PT Astra Serif" w:eastAsia="Lucida Sans Unicode" w:cs="PT Astra Serif"/>
                <w:sz w:val="26"/>
                <w:szCs w:val="26"/>
                <w:highlight w:val="white"/>
                <w:lang w:eastAsia="zh-CN" w:bidi="hi-IN"/>
              </w:rPr>
            </w:r>
            <w:r>
              <w:rPr>
                <w:highlight w:val="white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Lucida Sans Unicode" w:cs="PT Astra Serif"/>
                <w:sz w:val="26"/>
                <w:szCs w:val="26"/>
                <w:highlight w:val="white"/>
                <w:lang w:eastAsia="zh-CN" w:bidi="hi-IN"/>
              </w:rPr>
              <w:t xml:space="preserve">ОГКУ «Томсклес»</w:t>
            </w:r>
            <w:r>
              <w:rPr>
                <w:highlight w:val="white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bCs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cs="PT Astra Serif"/>
                <w:bCs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  <w:r/>
          </w:p>
        </w:tc>
      </w:tr>
    </w:tbl>
    <w:p>
      <w:pPr>
        <w:jc w:val="both"/>
        <w:spacing w:after="0" w:line="240" w:lineRule="auto"/>
        <w:widowControl w:val="off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highlight w:val="white"/>
        </w:rPr>
      </w:r>
      <w:r/>
    </w:p>
    <w:p>
      <w:pPr>
        <w:jc w:val="both"/>
        <w:spacing w:after="0" w:line="240" w:lineRule="auto"/>
        <w:widowControl w:val="off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highlight w:val="white"/>
        </w:rPr>
      </w:r>
      <w:r/>
    </w:p>
    <w:p>
      <w:pPr>
        <w:ind w:left="0" w:right="0" w:firstLine="0"/>
        <w:jc w:val="center"/>
        <w:spacing w:after="0" w:line="240" w:lineRule="auto"/>
        <w:rPr>
          <w:rFonts w:ascii="PT Astra Serif" w:hAnsi="PT Astra Serif" w:cs="PT Astra Serif"/>
          <w:b/>
          <w:bCs/>
          <w:sz w:val="26"/>
          <w:szCs w:val="26"/>
          <w:highlight w:val="white"/>
        </w:rPr>
      </w:pPr>
      <w:r>
        <w:rPr>
          <w:rFonts w:ascii="PT Astra Serif" w:hAnsi="PT Astra Serif" w:eastAsia="Times New Roman" w:cs="PT Astra Serif"/>
          <w:b/>
          <w:bCs/>
          <w:sz w:val="26"/>
          <w:szCs w:val="26"/>
          <w:highlight w:val="white"/>
          <w:lang w:eastAsia="ru-RU"/>
        </w:rPr>
        <w:t xml:space="preserve">V</w:t>
      </w:r>
      <w:r>
        <w:rPr>
          <w:rFonts w:ascii="PT Astra Serif" w:hAnsi="PT Astra Serif" w:cs="PT Astra Serif"/>
          <w:b/>
          <w:bCs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Times New Roman" w:cs="PT Astra Serif"/>
          <w:b/>
          <w:bCs/>
          <w:sz w:val="26"/>
          <w:szCs w:val="26"/>
          <w:highlight w:val="white"/>
          <w:lang w:eastAsia="ru-RU"/>
        </w:rPr>
        <w:t xml:space="preserve">Показатели результативности и эффективности программы профилактики</w:t>
      </w:r>
      <w:r>
        <w:rPr>
          <w:rFonts w:ascii="PT Astra Serif" w:hAnsi="PT Astra Serif" w:cs="PT Astra Serif"/>
          <w:b/>
          <w:bCs/>
          <w:sz w:val="26"/>
          <w:szCs w:val="26"/>
          <w:highlight w:val="white"/>
        </w:rPr>
      </w:r>
      <w:r/>
    </w:p>
    <w:p>
      <w:pPr>
        <w:ind w:left="0" w:right="0" w:firstLine="0"/>
        <w:jc w:val="center"/>
        <w:spacing w:after="0" w:line="240" w:lineRule="auto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highlight w:val="white"/>
        </w:rPr>
      </w:r>
      <w:r/>
    </w:p>
    <w:p>
      <w:pPr>
        <w:ind w:left="0" w:right="0" w:firstLine="0"/>
        <w:jc w:val="both"/>
        <w:spacing w:after="0" w:line="240" w:lineRule="auto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ab/>
        <w:t xml:space="preserve">Основным показателем эффективности и результативности реализации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программы профилактики является общественно значимый результат,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связанный</w:t>
        <w:br/>
        <w:t xml:space="preserve">с минимизацией риска причинения вреда (ущерба) охраняемым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законом ценностям, вызванный нарушениями обязательных требований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лесного законодательства.</w:t>
      </w:r>
      <w:r>
        <w:rPr>
          <w:rFonts w:ascii="PT Astra Serif" w:hAnsi="PT Astra Serif" w:cs="PT Astra Serif"/>
          <w:highlight w:val="white"/>
        </w:rPr>
      </w:r>
      <w:r/>
    </w:p>
    <w:p>
      <w:pPr>
        <w:jc w:val="both"/>
        <w:spacing w:after="0" w:line="240" w:lineRule="auto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ab/>
        <w:t xml:space="preserve">Программа профилактики рисков призвана обеспечить создание условий </w:t>
        <w:br/>
        <w:t xml:space="preserve">для снижения случаев нарушения обязательных требований, снижения количества однотипных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 и повторяющихся нарушений одним и тем же лесопользователем.</w:t>
      </w:r>
      <w:r>
        <w:rPr>
          <w:rFonts w:ascii="PT Astra Serif" w:hAnsi="PT Astra Serif" w:cs="PT Astra Serif"/>
          <w:highlight w:val="white"/>
        </w:rPr>
      </w:r>
      <w:r/>
    </w:p>
    <w:p>
      <w:pPr>
        <w:jc w:val="both"/>
        <w:spacing w:after="0" w:line="240" w:lineRule="auto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bookmarkStart w:id="4" w:name="100183"/>
      <w:r>
        <w:rPr>
          <w:rFonts w:ascii="PT Astra Serif" w:hAnsi="PT Astra Serif" w:cs="PT Astra Serif"/>
          <w:sz w:val="26"/>
          <w:szCs w:val="26"/>
          <w:highlight w:val="white"/>
        </w:rPr>
      </w:r>
      <w:bookmarkEnd w:id="4"/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ab/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Показатель эффективности и результативности профилактической работы – улучшение состояния подконтрольной сферы (улучшение состояния охраняемых законом ценностей в сфере осуществления Государственного лесного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контроля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br/>
        <w:t xml:space="preserve">на землях лесного фонда Томской области.</w:t>
      </w:r>
      <w:r>
        <w:rPr>
          <w:rFonts w:ascii="PT Astra Serif" w:hAnsi="PT Astra Serif" w:cs="PT Astra Serif"/>
          <w:highlight w:val="white"/>
        </w:rPr>
      </w:r>
      <w:r/>
    </w:p>
    <w:p>
      <w:pPr>
        <w:jc w:val="both"/>
        <w:spacing w:after="0" w:line="240" w:lineRule="auto"/>
        <w:widowControl w:val="off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ab/>
        <w:t xml:space="preserve">Основными критериями оценки эффективности и результативности профилактических мероприятий в рамках осуществления Государственного лесного контроля являются:</w:t>
      </w:r>
      <w:r>
        <w:rPr>
          <w:rFonts w:ascii="PT Astra Serif" w:hAnsi="PT Astra Serif" w:cs="PT Astra Serif"/>
          <w:highlight w:val="white"/>
        </w:rPr>
      </w:r>
      <w:r/>
    </w:p>
    <w:p>
      <w:pPr>
        <w:ind w:left="0" w:right="0" w:firstLine="709"/>
        <w:jc w:val="both"/>
        <w:spacing w:after="0" w:line="240" w:lineRule="auto"/>
        <w:widowControl w:val="off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 результа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тивность деятельности Департамента; </w:t>
      </w:r>
      <w:r>
        <w:rPr>
          <w:rFonts w:ascii="PT Astra Serif" w:hAnsi="PT Astra Serif" w:cs="PT Astra Serif"/>
          <w:highlight w:val="white"/>
        </w:rPr>
      </w:r>
      <w:r/>
    </w:p>
    <w:p>
      <w:pPr>
        <w:ind w:left="0" w:right="0" w:firstLine="709"/>
        <w:jc w:val="both"/>
        <w:spacing w:after="0" w:line="240" w:lineRule="auto"/>
        <w:widowControl w:val="off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 информированность подконтрольных субъектов об обязательных требованиях, о принятых и готовящихся изменениях в системе обязательных требований, о порядке проведения мероприятий по контролю, правах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подконтрольных субъектов в ходе мероприятий по контролю; </w:t>
      </w:r>
      <w:r>
        <w:rPr>
          <w:rFonts w:ascii="PT Astra Serif" w:hAnsi="PT Astra Serif" w:cs="PT Astra Serif"/>
          <w:highlight w:val="white"/>
        </w:rPr>
      </w:r>
      <w:r/>
    </w:p>
    <w:p>
      <w:pPr>
        <w:ind w:left="0" w:right="0" w:firstLine="709"/>
        <w:jc w:val="both"/>
        <w:spacing w:after="0" w:line="240" w:lineRule="auto"/>
        <w:widowControl w:val="off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 понятность обязательных требований подконтрольным субъектам;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  <w:bookmarkStart w:id="9" w:name="_GoBack"/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  <w:bookmarkEnd w:id="9"/>
      <w:r>
        <w:rPr>
          <w:rFonts w:ascii="PT Astra Serif" w:hAnsi="PT Astra Serif" w:cs="PT Astra Serif"/>
          <w:highlight w:val="white"/>
        </w:rPr>
      </w:r>
      <w:r/>
    </w:p>
    <w:p>
      <w:pPr>
        <w:ind w:left="0" w:right="0" w:firstLine="709"/>
        <w:jc w:val="both"/>
        <w:spacing w:after="0" w:line="240" w:lineRule="auto"/>
        <w:widowControl w:val="off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 вовлечение подконтрольных субъектов во взаимодействие с Департаментом, </w:t>
        <w:br/>
        <w:t xml:space="preserve">в том числе в рамках проводимых профилактических мероприятий.</w:t>
      </w:r>
      <w:r>
        <w:rPr>
          <w:rFonts w:ascii="PT Astra Serif" w:hAnsi="PT Astra Serif" w:cs="PT Astra Serif"/>
          <w:highlight w:val="white"/>
        </w:rPr>
      </w:r>
      <w:r/>
    </w:p>
    <w:p>
      <w:pPr>
        <w:jc w:val="both"/>
        <w:spacing w:after="0" w:line="240" w:lineRule="auto"/>
        <w:widowControl w:val="off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ab/>
        <w:t xml:space="preserve">Выполненные за отчетный период профилактические мероприятия в рамках проведения федерального государстве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нного лесного контроля (надзора) оцениваются посредством следующих показателей результативности и эффективности: </w:t>
      </w:r>
      <w:r>
        <w:rPr>
          <w:rFonts w:ascii="PT Astra Serif" w:hAnsi="PT Astra Serif" w:cs="PT Astra Serif"/>
          <w:highlight w:val="white"/>
        </w:rPr>
      </w:r>
      <w:r/>
    </w:p>
    <w:p>
      <w:pPr>
        <w:ind w:left="0" w:right="0" w:firstLine="709"/>
        <w:jc w:val="both"/>
        <w:spacing w:after="0" w:line="240" w:lineRule="auto"/>
        <w:widowControl w:val="off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 количество проведенных профилактических мероприятий; </w:t>
      </w:r>
      <w:r>
        <w:rPr>
          <w:rFonts w:ascii="PT Astra Serif" w:hAnsi="PT Astra Serif" w:cs="PT Astra Serif"/>
          <w:highlight w:val="white"/>
        </w:rPr>
      </w:r>
      <w:r/>
    </w:p>
    <w:p>
      <w:pPr>
        <w:ind w:left="0" w:right="0" w:firstLine="709"/>
        <w:jc w:val="both"/>
        <w:spacing w:after="0" w:line="240" w:lineRule="auto"/>
        <w:widowControl w:val="off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 количество по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дконтрольных субъектов, в отношении которых проведены профилактические мероприятия;</w:t>
      </w:r>
      <w:r>
        <w:rPr>
          <w:rFonts w:ascii="PT Astra Serif" w:hAnsi="PT Astra Serif" w:cs="PT Astra Serif"/>
          <w:highlight w:val="white"/>
        </w:rPr>
      </w:r>
      <w:r/>
    </w:p>
    <w:p>
      <w:pPr>
        <w:ind w:left="0" w:right="0" w:firstLine="709"/>
        <w:jc w:val="both"/>
        <w:spacing w:after="0" w:line="240" w:lineRule="auto"/>
        <w:widowControl w:val="off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 доля субъектов, в отношении которых проведены профилактические мероприятия (показатель рассчитывается в процентах от общего количества подконтрольных субъектов)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. </w:t>
      </w:r>
      <w:r>
        <w:rPr>
          <w:rFonts w:ascii="PT Astra Serif" w:hAnsi="PT Astra Serif" w:cs="PT Astra Serif"/>
          <w:highlight w:val="white"/>
        </w:rPr>
      </w:r>
      <w:r/>
    </w:p>
    <w:p>
      <w:pPr>
        <w:ind w:left="0" w:right="0" w:firstLine="0"/>
        <w:jc w:val="both"/>
        <w:spacing w:after="0" w:line="240" w:lineRule="auto"/>
        <w:widowControl w:val="off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ab/>
        <w:t xml:space="preserve">Информирование органов государственной власти, органов местного самоуправления, юридических лиц, индивидуальных предпринимателей по вопросам соблюдения обязательных требований, оценка соблюдения которых является предметом федерального государственн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ого лесного контроля (надзора) на территории Томской области, в том числе посредством размещения на официальном сайте Департамента руководств, памяток, информационных статей;</w:t>
      </w:r>
      <w:r>
        <w:rPr>
          <w:rFonts w:ascii="PT Astra Serif" w:hAnsi="PT Astra Serif" w:cs="PT Astra Serif"/>
          <w:highlight w:val="white"/>
        </w:rPr>
      </w:r>
      <w:r/>
    </w:p>
    <w:p>
      <w:pPr>
        <w:ind w:left="0" w:right="0" w:firstLine="0"/>
        <w:jc w:val="both"/>
        <w:spacing w:after="0" w:line="240" w:lineRule="auto"/>
        <w:widowControl w:val="off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ab/>
        <w:t xml:space="preserve">Проведени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е семинаров, конференций, разъяснительной работы в средствах массовой информации, горячих линий и подобных мероприятий по информированию юридических лиц и индивидуальных предпринимателей по вопросам соблюдения обязательных требований, оценка соблюдения кот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орых является предметом федерального государственного лесного контроля (надзора). </w:t>
      </w:r>
      <w:r>
        <w:rPr>
          <w:rFonts w:ascii="PT Astra Serif" w:hAnsi="PT Astra Serif" w:cs="PT Astra Serif"/>
          <w:highlight w:val="white"/>
        </w:rPr>
      </w:r>
      <w:r/>
    </w:p>
    <w:p>
      <w:pPr>
        <w:ind w:firstLine="0"/>
        <w:jc w:val="both"/>
        <w:spacing w:after="0" w:line="240" w:lineRule="auto"/>
        <w:widowControl w:val="off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ab/>
        <w:t xml:space="preserve">Мониторинг оценки уровня развития Программы, а также эффективности </w:t>
        <w:br/>
        <w:t xml:space="preserve">и результативности профилактических мероприятий включает в себя оценку достижения показателей эффективности и результативности профилактических мер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оприятий, определенных на очередной календарный период. </w:t>
      </w:r>
      <w:r>
        <w:rPr>
          <w:rFonts w:ascii="PT Astra Serif" w:hAnsi="PT Astra Serif" w:cs="PT Astra Serif"/>
          <w:highlight w:val="white"/>
        </w:rPr>
      </w:r>
      <w:r/>
    </w:p>
    <w:p>
      <w:pPr>
        <w:jc w:val="both"/>
        <w:spacing w:after="0" w:line="240" w:lineRule="auto"/>
        <w:widowControl w:val="off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ab/>
        <w:t xml:space="preserve">Программа реализуется Департаментом, информация о результатах профилактической работы, готовящихся и состоявшихся профилактичес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ких мероприятиях, а также настоящая Программа размещаются на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официальном сайте Департамента.</w:t>
      </w:r>
      <w:r>
        <w:rPr>
          <w:rFonts w:ascii="PT Astra Serif" w:hAnsi="PT Astra Serif" w:cs="PT Astra Serif"/>
          <w:highlight w:val="white"/>
        </w:rPr>
      </w:r>
      <w:r/>
    </w:p>
    <w:sectPr>
      <w:footnotePr/>
      <w:endnotePr/>
      <w:type w:val="nextPage"/>
      <w:pgSz w:w="11906" w:h="16838" w:orient="portrait"/>
      <w:pgMar w:top="850" w:right="850" w:bottom="850" w:left="1417" w:header="420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502040504020204"/>
  </w:font>
  <w:font w:name="PT Serif">
    <w:panose1 w:val="020A0603040505020204"/>
  </w:font>
  <w:font w:name="Liberation Sans">
    <w:panose1 w:val="020B0604020202020204"/>
  </w:font>
  <w:font w:name="Tahoma">
    <w:panose1 w:val="020B0604030504040204"/>
  </w:font>
  <w:font w:name="Times New Roman">
    <w:panose1 w:val="020206030504050203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nothing"/>
      <w:lvlText w:val=""/>
      <w:lvlJc w:val="left"/>
      <w:pPr>
        <w:ind w:left="432" w:hanging="432"/>
        <w:tabs>
          <w:tab w:val="num" w:pos="432" w:leader="none"/>
        </w:tabs>
      </w:pPr>
    </w:lvl>
    <w:lvl w:ilvl="1">
      <w:start w:val="1"/>
      <w:numFmt w:val="none"/>
      <w:isLgl w:val="false"/>
      <w:suff w:val="nothing"/>
      <w:lvlText w:val=""/>
      <w:lvlJc w:val="left"/>
      <w:pPr>
        <w:ind w:left="576" w:hanging="576"/>
        <w:tabs>
          <w:tab w:val="num" w:pos="576" w:leader="none"/>
        </w:tabs>
      </w:pPr>
    </w:lvl>
    <w:lvl w:ilvl="2">
      <w:start w:val="1"/>
      <w:numFmt w:val="none"/>
      <w:isLgl w:val="false"/>
      <w:suff w:val="nothing"/>
      <w:lvlText w:val=""/>
      <w:lvlJc w:val="left"/>
      <w:pPr>
        <w:ind w:left="720" w:hanging="720"/>
        <w:tabs>
          <w:tab w:val="num" w:pos="0" w:leader="none"/>
        </w:tabs>
      </w:pPr>
    </w:lvl>
    <w:lvl w:ilvl="3">
      <w:start w:val="1"/>
      <w:numFmt w:val="none"/>
      <w:isLgl w:val="false"/>
      <w:suff w:val="nothing"/>
      <w:lvlText w:val=""/>
      <w:lvlJc w:val="left"/>
      <w:pPr>
        <w:ind w:left="864" w:hanging="864"/>
        <w:tabs>
          <w:tab w:val="num" w:pos="864" w:leader="none"/>
        </w:tabs>
      </w:pPr>
    </w:lvl>
    <w:lvl w:ilvl="4">
      <w:start w:val="1"/>
      <w:numFmt w:val="none"/>
      <w:isLgl w:val="false"/>
      <w:suff w:val="nothing"/>
      <w:lvlText w:val=""/>
      <w:lvlJc w:val="left"/>
      <w:pPr>
        <w:ind w:left="1008" w:hanging="1008"/>
        <w:tabs>
          <w:tab w:val="num" w:pos="0" w:leader="none"/>
        </w:tabs>
      </w:pPr>
    </w:lvl>
    <w:lvl w:ilvl="5">
      <w:start w:val="1"/>
      <w:numFmt w:val="none"/>
      <w:isLgl w:val="false"/>
      <w:suff w:val="nothing"/>
      <w:lvlText w:val=""/>
      <w:lvlJc w:val="left"/>
      <w:pPr>
        <w:ind w:left="1152" w:hanging="1152"/>
        <w:tabs>
          <w:tab w:val="num" w:pos="1152" w:leader="none"/>
        </w:tabs>
      </w:pPr>
    </w:lvl>
    <w:lvl w:ilvl="6">
      <w:start w:val="1"/>
      <w:numFmt w:val="none"/>
      <w:isLgl w:val="false"/>
      <w:suff w:val="nothing"/>
      <w:lvlText w:val=""/>
      <w:lvlJc w:val="left"/>
      <w:pPr>
        <w:ind w:left="1296" w:hanging="1296"/>
        <w:tabs>
          <w:tab w:val="num" w:pos="1296" w:leader="none"/>
        </w:tabs>
      </w:pPr>
    </w:lvl>
    <w:lvl w:ilvl="7">
      <w:start w:val="1"/>
      <w:numFmt w:val="none"/>
      <w:isLgl w:val="false"/>
      <w:suff w:val="nothing"/>
      <w:lvlText w:val=""/>
      <w:lvlJc w:val="left"/>
      <w:pPr>
        <w:ind w:left="1440" w:hanging="1440"/>
        <w:tabs>
          <w:tab w:val="num" w:pos="1440" w:leader="none"/>
        </w:tabs>
      </w:pPr>
    </w:lvl>
    <w:lvl w:ilvl="8">
      <w:start w:val="1"/>
      <w:numFmt w:val="none"/>
      <w:isLgl w:val="false"/>
      <w:suff w:val="nothing"/>
      <w:lvlText w:val=""/>
      <w:lvlJc w:val="left"/>
      <w:pPr>
        <w:ind w:left="1584" w:hanging="1584"/>
        <w:tabs>
          <w:tab w:val="num" w:pos="1584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7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7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7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6">
    <w:name w:val="Heading 1"/>
    <w:basedOn w:val="820"/>
    <w:next w:val="820"/>
    <w:link w:val="64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7">
    <w:name w:val="Heading 1 Char"/>
    <w:basedOn w:val="821"/>
    <w:link w:val="646"/>
    <w:uiPriority w:val="9"/>
    <w:rPr>
      <w:rFonts w:ascii="Arial" w:hAnsi="Arial" w:eastAsia="Arial" w:cs="Arial"/>
      <w:sz w:val="40"/>
      <w:szCs w:val="40"/>
    </w:rPr>
  </w:style>
  <w:style w:type="paragraph" w:styleId="648">
    <w:name w:val="Heading 2"/>
    <w:basedOn w:val="820"/>
    <w:next w:val="820"/>
    <w:link w:val="64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9">
    <w:name w:val="Heading 2 Char"/>
    <w:basedOn w:val="821"/>
    <w:link w:val="648"/>
    <w:uiPriority w:val="9"/>
    <w:rPr>
      <w:rFonts w:ascii="Arial" w:hAnsi="Arial" w:eastAsia="Arial" w:cs="Arial"/>
      <w:sz w:val="34"/>
    </w:rPr>
  </w:style>
  <w:style w:type="paragraph" w:styleId="650">
    <w:name w:val="Heading 3"/>
    <w:basedOn w:val="820"/>
    <w:next w:val="820"/>
    <w:link w:val="65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51">
    <w:name w:val="Heading 3 Char"/>
    <w:basedOn w:val="821"/>
    <w:link w:val="650"/>
    <w:uiPriority w:val="9"/>
    <w:rPr>
      <w:rFonts w:ascii="Arial" w:hAnsi="Arial" w:eastAsia="Arial" w:cs="Arial"/>
      <w:sz w:val="30"/>
      <w:szCs w:val="30"/>
    </w:rPr>
  </w:style>
  <w:style w:type="paragraph" w:styleId="652">
    <w:name w:val="Heading 4"/>
    <w:basedOn w:val="820"/>
    <w:next w:val="820"/>
    <w:link w:val="65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53">
    <w:name w:val="Heading 4 Char"/>
    <w:basedOn w:val="821"/>
    <w:link w:val="652"/>
    <w:uiPriority w:val="9"/>
    <w:rPr>
      <w:rFonts w:ascii="Arial" w:hAnsi="Arial" w:eastAsia="Arial" w:cs="Arial"/>
      <w:b/>
      <w:bCs/>
      <w:sz w:val="26"/>
      <w:szCs w:val="26"/>
    </w:rPr>
  </w:style>
  <w:style w:type="paragraph" w:styleId="654">
    <w:name w:val="Heading 5"/>
    <w:basedOn w:val="820"/>
    <w:next w:val="820"/>
    <w:link w:val="65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5">
    <w:name w:val="Heading 5 Char"/>
    <w:basedOn w:val="821"/>
    <w:link w:val="654"/>
    <w:uiPriority w:val="9"/>
    <w:rPr>
      <w:rFonts w:ascii="Arial" w:hAnsi="Arial" w:eastAsia="Arial" w:cs="Arial"/>
      <w:b/>
      <w:bCs/>
      <w:sz w:val="24"/>
      <w:szCs w:val="24"/>
    </w:rPr>
  </w:style>
  <w:style w:type="paragraph" w:styleId="656">
    <w:name w:val="Heading 6"/>
    <w:basedOn w:val="820"/>
    <w:next w:val="820"/>
    <w:link w:val="65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7">
    <w:name w:val="Heading 6 Char"/>
    <w:basedOn w:val="821"/>
    <w:link w:val="656"/>
    <w:uiPriority w:val="9"/>
    <w:rPr>
      <w:rFonts w:ascii="Arial" w:hAnsi="Arial" w:eastAsia="Arial" w:cs="Arial"/>
      <w:b/>
      <w:bCs/>
      <w:sz w:val="22"/>
      <w:szCs w:val="22"/>
    </w:rPr>
  </w:style>
  <w:style w:type="paragraph" w:styleId="658">
    <w:name w:val="Heading 7"/>
    <w:basedOn w:val="820"/>
    <w:next w:val="820"/>
    <w:link w:val="65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9">
    <w:name w:val="Heading 7 Char"/>
    <w:basedOn w:val="821"/>
    <w:link w:val="65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60">
    <w:name w:val="Heading 8"/>
    <w:basedOn w:val="820"/>
    <w:next w:val="820"/>
    <w:link w:val="66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61">
    <w:name w:val="Heading 8 Char"/>
    <w:basedOn w:val="821"/>
    <w:link w:val="660"/>
    <w:uiPriority w:val="9"/>
    <w:rPr>
      <w:rFonts w:ascii="Arial" w:hAnsi="Arial" w:eastAsia="Arial" w:cs="Arial"/>
      <w:i/>
      <w:iCs/>
      <w:sz w:val="22"/>
      <w:szCs w:val="22"/>
    </w:rPr>
  </w:style>
  <w:style w:type="paragraph" w:styleId="662">
    <w:name w:val="Heading 9"/>
    <w:basedOn w:val="820"/>
    <w:next w:val="820"/>
    <w:link w:val="66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3">
    <w:name w:val="Heading 9 Char"/>
    <w:basedOn w:val="821"/>
    <w:link w:val="662"/>
    <w:uiPriority w:val="9"/>
    <w:rPr>
      <w:rFonts w:ascii="Arial" w:hAnsi="Arial" w:eastAsia="Arial" w:cs="Arial"/>
      <w:i/>
      <w:iCs/>
      <w:sz w:val="21"/>
      <w:szCs w:val="21"/>
    </w:rPr>
  </w:style>
  <w:style w:type="paragraph" w:styleId="664">
    <w:name w:val="No Spacing"/>
    <w:uiPriority w:val="1"/>
    <w:qFormat/>
    <w:pPr>
      <w:spacing w:before="0" w:after="0" w:line="240" w:lineRule="auto"/>
    </w:pPr>
  </w:style>
  <w:style w:type="paragraph" w:styleId="665">
    <w:name w:val="Title"/>
    <w:basedOn w:val="820"/>
    <w:next w:val="820"/>
    <w:link w:val="66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6">
    <w:name w:val="Title Char"/>
    <w:basedOn w:val="821"/>
    <w:link w:val="665"/>
    <w:uiPriority w:val="10"/>
    <w:rPr>
      <w:sz w:val="48"/>
      <w:szCs w:val="48"/>
    </w:rPr>
  </w:style>
  <w:style w:type="paragraph" w:styleId="667">
    <w:name w:val="Subtitle"/>
    <w:basedOn w:val="820"/>
    <w:next w:val="820"/>
    <w:link w:val="668"/>
    <w:uiPriority w:val="11"/>
    <w:qFormat/>
    <w:pPr>
      <w:spacing w:before="200" w:after="200"/>
    </w:pPr>
    <w:rPr>
      <w:sz w:val="24"/>
      <w:szCs w:val="24"/>
    </w:rPr>
  </w:style>
  <w:style w:type="character" w:styleId="668">
    <w:name w:val="Subtitle Char"/>
    <w:basedOn w:val="821"/>
    <w:link w:val="667"/>
    <w:uiPriority w:val="11"/>
    <w:rPr>
      <w:sz w:val="24"/>
      <w:szCs w:val="24"/>
    </w:rPr>
  </w:style>
  <w:style w:type="paragraph" w:styleId="669">
    <w:name w:val="Quote"/>
    <w:basedOn w:val="820"/>
    <w:next w:val="820"/>
    <w:link w:val="670"/>
    <w:uiPriority w:val="29"/>
    <w:qFormat/>
    <w:pPr>
      <w:ind w:left="720" w:right="720"/>
    </w:pPr>
    <w:rPr>
      <w:i/>
    </w:rPr>
  </w:style>
  <w:style w:type="character" w:styleId="670">
    <w:name w:val="Quote Char"/>
    <w:link w:val="669"/>
    <w:uiPriority w:val="29"/>
    <w:rPr>
      <w:i/>
    </w:rPr>
  </w:style>
  <w:style w:type="paragraph" w:styleId="671">
    <w:name w:val="Intense Quote"/>
    <w:basedOn w:val="820"/>
    <w:next w:val="820"/>
    <w:link w:val="67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2">
    <w:name w:val="Intense Quote Char"/>
    <w:link w:val="671"/>
    <w:uiPriority w:val="30"/>
    <w:rPr>
      <w:i/>
    </w:rPr>
  </w:style>
  <w:style w:type="character" w:styleId="673">
    <w:name w:val="Header Char"/>
    <w:basedOn w:val="821"/>
    <w:link w:val="827"/>
    <w:uiPriority w:val="99"/>
  </w:style>
  <w:style w:type="character" w:styleId="674">
    <w:name w:val="Footer Char"/>
    <w:basedOn w:val="821"/>
    <w:link w:val="829"/>
    <w:uiPriority w:val="99"/>
  </w:style>
  <w:style w:type="paragraph" w:styleId="675">
    <w:name w:val="Caption"/>
    <w:basedOn w:val="820"/>
    <w:next w:val="82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6">
    <w:name w:val="Caption Char"/>
    <w:basedOn w:val="675"/>
    <w:link w:val="829"/>
    <w:uiPriority w:val="99"/>
  </w:style>
  <w:style w:type="table" w:styleId="677">
    <w:name w:val="Table Grid"/>
    <w:basedOn w:val="82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8">
    <w:name w:val="Table Grid Light"/>
    <w:basedOn w:val="82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9">
    <w:name w:val="Plain Table 1"/>
    <w:basedOn w:val="82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0">
    <w:name w:val="Plain Table 2"/>
    <w:basedOn w:val="82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1">
    <w:name w:val="Plain Table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2">
    <w:name w:val="Plain Table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Plain Table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4">
    <w:name w:val="Grid Table 1 Light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1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1 Light - Accent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1 Light - Accent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1 Light - Accent 6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1">
    <w:name w:val="Grid Table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1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2 - Accent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2 - Accent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2 - Accent 6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1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 - Accent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3 - Accent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3 - Accent 6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4"/>
    <w:basedOn w:val="8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6">
    <w:name w:val="Grid Table 4 - Accent 1"/>
    <w:basedOn w:val="8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7">
    <w:name w:val="Grid Table 4 - Accent 2"/>
    <w:basedOn w:val="8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8">
    <w:name w:val="Grid Table 4 - Accent 3"/>
    <w:basedOn w:val="8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9">
    <w:name w:val="Grid Table 4 - Accent 4"/>
    <w:basedOn w:val="8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0">
    <w:name w:val="Grid Table 4 - Accent 5"/>
    <w:basedOn w:val="8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1">
    <w:name w:val="Grid Table 4 - Accent 6"/>
    <w:basedOn w:val="8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2">
    <w:name w:val="Grid Table 5 Dark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1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6">
    <w:name w:val="Grid Table 5 Dark- Accent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7">
    <w:name w:val="Grid Table 5 Dark - Accent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8">
    <w:name w:val="Grid Table 5 Dark - Accent 6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9">
    <w:name w:val="Grid Table 6 Colorful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0">
    <w:name w:val="Grid Table 6 Colorful - Accent 1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1">
    <w:name w:val="Grid Table 6 Colorful - Accent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2">
    <w:name w:val="Grid Table 6 Colorful - Accent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3">
    <w:name w:val="Grid Table 6 Colorful - Accent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4">
    <w:name w:val="Grid Table 6 Colorful - Accent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5">
    <w:name w:val="Grid Table 6 Colorful - Accent 6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6">
    <w:name w:val="Grid Table 7 Colorful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1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7 Colorful - Accent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7 Colorful - Accent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7 Colorful - Accent 6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1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 - Accent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 - Accent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1 Light - Accent 6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List Table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1">
    <w:name w:val="List Table 2 - Accent 1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2">
    <w:name w:val="List Table 2 - Accent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3">
    <w:name w:val="List Table 2 - Accent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4">
    <w:name w:val="List Table 2 - Accent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5">
    <w:name w:val="List Table 2 - Accent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6">
    <w:name w:val="List Table 2 - Accent 6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7">
    <w:name w:val="List Table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1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3 - Accent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3 - Accent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3 - Accent 6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1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 - Accent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 - Accent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4 - Accent 6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5 Dark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1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5 Dark - Accent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6">
    <w:name w:val="List Table 5 Dark - Accent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5 Dark - Accent 6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8">
    <w:name w:val="List Table 6 Colorful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9">
    <w:name w:val="List Table 6 Colorful - Accent 1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0">
    <w:name w:val="List Table 6 Colorful - Accent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1">
    <w:name w:val="List Table 6 Colorful - Accent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2">
    <w:name w:val="List Table 6 Colorful - Accent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3">
    <w:name w:val="List Table 6 Colorful - Accent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4">
    <w:name w:val="List Table 6 Colorful - Accent 6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5">
    <w:name w:val="List Table 7 Colorful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6">
    <w:name w:val="List Table 7 Colorful - Accent 1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77">
    <w:name w:val="List Table 7 Colorful - Accent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78">
    <w:name w:val="List Table 7 Colorful - Accent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79">
    <w:name w:val="List Table 7 Colorful - Accent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80">
    <w:name w:val="List Table 7 Colorful - Accent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81">
    <w:name w:val="List Table 7 Colorful - Accent 6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82">
    <w:name w:val="Lined - Accent"/>
    <w:basedOn w:val="8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3">
    <w:name w:val="Lined - Accent 1"/>
    <w:basedOn w:val="8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4">
    <w:name w:val="Lined - Accent 2"/>
    <w:basedOn w:val="8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5">
    <w:name w:val="Lined - Accent 3"/>
    <w:basedOn w:val="8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6">
    <w:name w:val="Lined - Accent 4"/>
    <w:basedOn w:val="8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7">
    <w:name w:val="Lined - Accent 5"/>
    <w:basedOn w:val="8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8">
    <w:name w:val="Lined - Accent 6"/>
    <w:basedOn w:val="8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9">
    <w:name w:val="Bordered &amp; Lined - Accent"/>
    <w:basedOn w:val="8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0">
    <w:name w:val="Bordered &amp; Lined - Accent 1"/>
    <w:basedOn w:val="8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1">
    <w:name w:val="Bordered &amp; Lined - Accent 2"/>
    <w:basedOn w:val="8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2">
    <w:name w:val="Bordered &amp; Lined - Accent 3"/>
    <w:basedOn w:val="8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3">
    <w:name w:val="Bordered &amp; Lined - Accent 4"/>
    <w:basedOn w:val="8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4">
    <w:name w:val="Bordered &amp; Lined - Accent 5"/>
    <w:basedOn w:val="8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5">
    <w:name w:val="Bordered &amp; Lined - Accent 6"/>
    <w:basedOn w:val="8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6">
    <w:name w:val="Bordered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7">
    <w:name w:val="Bordered - Accent 1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8">
    <w:name w:val="Bordered - Accent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9">
    <w:name w:val="Bordered - Accent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0">
    <w:name w:val="Bordered - Accent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1">
    <w:name w:val="Bordered - Accent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2">
    <w:name w:val="Bordered - Accent 6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3">
    <w:name w:val="footnote text"/>
    <w:basedOn w:val="820"/>
    <w:link w:val="804"/>
    <w:uiPriority w:val="99"/>
    <w:semiHidden/>
    <w:unhideWhenUsed/>
    <w:pPr>
      <w:spacing w:after="40" w:line="240" w:lineRule="auto"/>
    </w:pPr>
    <w:rPr>
      <w:sz w:val="18"/>
    </w:rPr>
  </w:style>
  <w:style w:type="character" w:styleId="804">
    <w:name w:val="Footnote Text Char"/>
    <w:link w:val="803"/>
    <w:uiPriority w:val="99"/>
    <w:rPr>
      <w:sz w:val="18"/>
    </w:rPr>
  </w:style>
  <w:style w:type="character" w:styleId="805">
    <w:name w:val="footnote reference"/>
    <w:basedOn w:val="821"/>
    <w:uiPriority w:val="99"/>
    <w:unhideWhenUsed/>
    <w:rPr>
      <w:vertAlign w:val="superscript"/>
    </w:rPr>
  </w:style>
  <w:style w:type="paragraph" w:styleId="806">
    <w:name w:val="endnote text"/>
    <w:basedOn w:val="820"/>
    <w:link w:val="807"/>
    <w:uiPriority w:val="99"/>
    <w:semiHidden/>
    <w:unhideWhenUsed/>
    <w:pPr>
      <w:spacing w:after="0" w:line="240" w:lineRule="auto"/>
    </w:pPr>
    <w:rPr>
      <w:sz w:val="20"/>
    </w:rPr>
  </w:style>
  <w:style w:type="character" w:styleId="807">
    <w:name w:val="Endnote Text Char"/>
    <w:link w:val="806"/>
    <w:uiPriority w:val="99"/>
    <w:rPr>
      <w:sz w:val="20"/>
    </w:rPr>
  </w:style>
  <w:style w:type="character" w:styleId="808">
    <w:name w:val="endnote reference"/>
    <w:basedOn w:val="821"/>
    <w:uiPriority w:val="99"/>
    <w:semiHidden/>
    <w:unhideWhenUsed/>
    <w:rPr>
      <w:vertAlign w:val="superscript"/>
    </w:rPr>
  </w:style>
  <w:style w:type="paragraph" w:styleId="809">
    <w:name w:val="toc 1"/>
    <w:basedOn w:val="820"/>
    <w:next w:val="820"/>
    <w:uiPriority w:val="39"/>
    <w:unhideWhenUsed/>
    <w:pPr>
      <w:ind w:left="0" w:right="0" w:firstLine="0"/>
      <w:spacing w:after="57"/>
    </w:pPr>
  </w:style>
  <w:style w:type="paragraph" w:styleId="810">
    <w:name w:val="toc 2"/>
    <w:basedOn w:val="820"/>
    <w:next w:val="820"/>
    <w:uiPriority w:val="39"/>
    <w:unhideWhenUsed/>
    <w:pPr>
      <w:ind w:left="283" w:right="0" w:firstLine="0"/>
      <w:spacing w:after="57"/>
    </w:pPr>
  </w:style>
  <w:style w:type="paragraph" w:styleId="811">
    <w:name w:val="toc 3"/>
    <w:basedOn w:val="820"/>
    <w:next w:val="820"/>
    <w:uiPriority w:val="39"/>
    <w:unhideWhenUsed/>
    <w:pPr>
      <w:ind w:left="567" w:right="0" w:firstLine="0"/>
      <w:spacing w:after="57"/>
    </w:pPr>
  </w:style>
  <w:style w:type="paragraph" w:styleId="812">
    <w:name w:val="toc 4"/>
    <w:basedOn w:val="820"/>
    <w:next w:val="820"/>
    <w:uiPriority w:val="39"/>
    <w:unhideWhenUsed/>
    <w:pPr>
      <w:ind w:left="850" w:right="0" w:firstLine="0"/>
      <w:spacing w:after="57"/>
    </w:pPr>
  </w:style>
  <w:style w:type="paragraph" w:styleId="813">
    <w:name w:val="toc 5"/>
    <w:basedOn w:val="820"/>
    <w:next w:val="820"/>
    <w:uiPriority w:val="39"/>
    <w:unhideWhenUsed/>
    <w:pPr>
      <w:ind w:left="1134" w:right="0" w:firstLine="0"/>
      <w:spacing w:after="57"/>
    </w:pPr>
  </w:style>
  <w:style w:type="paragraph" w:styleId="814">
    <w:name w:val="toc 6"/>
    <w:basedOn w:val="820"/>
    <w:next w:val="820"/>
    <w:uiPriority w:val="39"/>
    <w:unhideWhenUsed/>
    <w:pPr>
      <w:ind w:left="1417" w:right="0" w:firstLine="0"/>
      <w:spacing w:after="57"/>
    </w:pPr>
  </w:style>
  <w:style w:type="paragraph" w:styleId="815">
    <w:name w:val="toc 7"/>
    <w:basedOn w:val="820"/>
    <w:next w:val="820"/>
    <w:uiPriority w:val="39"/>
    <w:unhideWhenUsed/>
    <w:pPr>
      <w:ind w:left="1701" w:right="0" w:firstLine="0"/>
      <w:spacing w:after="57"/>
    </w:pPr>
  </w:style>
  <w:style w:type="paragraph" w:styleId="816">
    <w:name w:val="toc 8"/>
    <w:basedOn w:val="820"/>
    <w:next w:val="820"/>
    <w:uiPriority w:val="39"/>
    <w:unhideWhenUsed/>
    <w:pPr>
      <w:ind w:left="1984" w:right="0" w:firstLine="0"/>
      <w:spacing w:after="57"/>
    </w:pPr>
  </w:style>
  <w:style w:type="paragraph" w:styleId="817">
    <w:name w:val="toc 9"/>
    <w:basedOn w:val="820"/>
    <w:next w:val="820"/>
    <w:uiPriority w:val="39"/>
    <w:unhideWhenUsed/>
    <w:pPr>
      <w:ind w:left="2268" w:right="0" w:firstLine="0"/>
      <w:spacing w:after="57"/>
    </w:pPr>
  </w:style>
  <w:style w:type="paragraph" w:styleId="818">
    <w:name w:val="TOC Heading"/>
    <w:uiPriority w:val="39"/>
    <w:unhideWhenUsed/>
  </w:style>
  <w:style w:type="paragraph" w:styleId="819">
    <w:name w:val="table of figures"/>
    <w:basedOn w:val="820"/>
    <w:next w:val="820"/>
    <w:uiPriority w:val="99"/>
    <w:unhideWhenUsed/>
    <w:pPr>
      <w:spacing w:after="0" w:afterAutospacing="0"/>
    </w:pPr>
  </w:style>
  <w:style w:type="paragraph" w:styleId="820" w:default="1">
    <w:name w:val="Normal"/>
    <w:qFormat/>
    <w:rPr>
      <w:rFonts w:ascii="Calibri" w:hAnsi="Calibri" w:eastAsia="Calibri" w:cs="Times New Roman"/>
    </w:rPr>
  </w:style>
  <w:style w:type="character" w:styleId="821" w:default="1">
    <w:name w:val="Default Paragraph Font"/>
    <w:uiPriority w:val="1"/>
    <w:unhideWhenUsed/>
  </w:style>
  <w:style w:type="table" w:styleId="82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3" w:default="1">
    <w:name w:val="No List"/>
    <w:uiPriority w:val="99"/>
    <w:semiHidden/>
    <w:unhideWhenUsed/>
  </w:style>
  <w:style w:type="character" w:styleId="824">
    <w:name w:val="Hyperlink"/>
    <w:uiPriority w:val="99"/>
    <w:unhideWhenUsed/>
    <w:rPr>
      <w:color w:val="0000ff"/>
      <w:u w:val="single"/>
    </w:rPr>
  </w:style>
  <w:style w:type="paragraph" w:styleId="825">
    <w:name w:val="Balloon Text"/>
    <w:basedOn w:val="820"/>
    <w:link w:val="826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26" w:customStyle="1">
    <w:name w:val="Текст выноски Знак"/>
    <w:basedOn w:val="821"/>
    <w:link w:val="825"/>
    <w:uiPriority w:val="99"/>
    <w:semiHidden/>
    <w:rPr>
      <w:rFonts w:ascii="Tahoma" w:hAnsi="Tahoma" w:eastAsia="Calibri" w:cs="Tahoma"/>
      <w:sz w:val="16"/>
      <w:szCs w:val="16"/>
    </w:rPr>
  </w:style>
  <w:style w:type="paragraph" w:styleId="827">
    <w:name w:val="Header"/>
    <w:basedOn w:val="820"/>
    <w:link w:val="828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28" w:customStyle="1">
    <w:name w:val="Верхний колонтитул Знак"/>
    <w:basedOn w:val="821"/>
    <w:link w:val="827"/>
    <w:uiPriority w:val="99"/>
    <w:rPr>
      <w:rFonts w:ascii="Calibri" w:hAnsi="Calibri" w:eastAsia="Calibri" w:cs="Times New Roman"/>
    </w:rPr>
  </w:style>
  <w:style w:type="paragraph" w:styleId="829">
    <w:name w:val="Footer"/>
    <w:basedOn w:val="820"/>
    <w:link w:val="830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30" w:customStyle="1">
    <w:name w:val="Нижний колонтитул Знак"/>
    <w:basedOn w:val="821"/>
    <w:link w:val="829"/>
    <w:uiPriority w:val="99"/>
    <w:rPr>
      <w:rFonts w:ascii="Calibri" w:hAnsi="Calibri" w:eastAsia="Calibri" w:cs="Times New Roman"/>
    </w:rPr>
  </w:style>
  <w:style w:type="paragraph" w:styleId="831">
    <w:name w:val="List Paragraph"/>
    <w:basedOn w:val="820"/>
    <w:uiPriority w:val="34"/>
    <w:qFormat/>
    <w:pPr>
      <w:contextualSpacing/>
      <w:ind w:left="720"/>
    </w:pPr>
  </w:style>
  <w:style w:type="character" w:styleId="832" w:customStyle="1">
    <w:name w:val="ConsPlusNormal Знак"/>
    <w:link w:val="833"/>
    <w:rPr>
      <w:rFonts w:ascii="Arial" w:hAnsi="Arial" w:eastAsia="Times New Roman" w:cs="Arial"/>
    </w:rPr>
  </w:style>
  <w:style w:type="paragraph" w:styleId="833" w:customStyle="1">
    <w:name w:val="ConsPlusNormal"/>
    <w:link w:val="832"/>
    <w:pPr>
      <w:spacing w:after="0" w:line="240" w:lineRule="auto"/>
      <w:widowControl w:val="off"/>
    </w:pPr>
    <w:rPr>
      <w:rFonts w:ascii="Arial" w:hAnsi="Arial" w:eastAsia="Times New Roman" w:cs="Arial"/>
    </w:rPr>
  </w:style>
  <w:style w:type="paragraph" w:styleId="834">
    <w:name w:val="Normal (Web)"/>
    <w:basedOn w:val="82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Р7-Офис/7.2.2.40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 Викторовна Чикова</dc:creator>
  <cp:revision>13</cp:revision>
  <dcterms:created xsi:type="dcterms:W3CDTF">2022-01-18T07:50:00Z</dcterms:created>
  <dcterms:modified xsi:type="dcterms:W3CDTF">2024-09-25T08:05:35Z</dcterms:modified>
</cp:coreProperties>
</file>