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Анализ правоприменительной практики осуществления</w:t>
      </w:r>
      <w:r>
        <w:rPr>
          <w:rFonts w:ascii="PT Astra Serif" w:hAnsi="PT Astra Serif"/>
          <w:b/>
          <w:sz w:val="28"/>
          <w:szCs w:val="28"/>
        </w:rPr>
        <w:br/>
        <w:t xml:space="preserve">федерального государственного лесного контроля (надзора) за </w:t>
      </w:r>
      <w:r>
        <w:rPr>
          <w:rFonts w:ascii="PT Astra Serif" w:hAnsi="PT Astra Serif"/>
          <w:b/>
          <w:sz w:val="28"/>
          <w:szCs w:val="28"/>
        </w:rPr>
        <w:t xml:space="preserve">9 </w:t>
      </w:r>
      <w:r>
        <w:rPr>
          <w:rFonts w:ascii="PT Astra Serif" w:hAnsi="PT Astra Serif"/>
          <w:b/>
          <w:sz w:val="28"/>
          <w:szCs w:val="28"/>
        </w:rPr>
        <w:t xml:space="preserve">месяцев </w:t>
      </w:r>
      <w:r>
        <w:rPr>
          <w:rFonts w:ascii="PT Astra Serif" w:hAnsi="PT Astra Serif"/>
          <w:b/>
          <w:sz w:val="28"/>
          <w:szCs w:val="28"/>
        </w:rPr>
        <w:t xml:space="preserve">2024 года 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Департаментом лесного хозяйства Томской области, ОГКУ «</w:t>
      </w:r>
      <w:r>
        <w:rPr>
          <w:rFonts w:ascii="PT Astra Serif" w:hAnsi="PT Astra Serif"/>
          <w:b/>
          <w:sz w:val="28"/>
          <w:szCs w:val="28"/>
        </w:rPr>
        <w:t xml:space="preserve">Томсклес</w:t>
      </w:r>
      <w:r>
        <w:rPr>
          <w:rFonts w:ascii="PT Astra Serif" w:hAnsi="PT Astra Serif"/>
          <w:b/>
          <w:sz w:val="28"/>
          <w:szCs w:val="28"/>
        </w:rPr>
        <w:t xml:space="preserve">» и его филиалами </w:t>
      </w:r>
      <w:r>
        <w:rPr>
          <w:rFonts w:ascii="PT Astra Serif" w:hAnsi="PT Astra Serif"/>
          <w:b/>
          <w:sz w:val="28"/>
          <w:szCs w:val="28"/>
        </w:rPr>
        <w:br/>
      </w:r>
      <w:r/>
    </w:p>
    <w:p>
      <w:pPr>
        <w:ind w:firstLine="709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На территории Томской области федеральный государственный лесной контроль (надзор) осуществляется: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- Департаментом лесного хозяйства Томской области, а также подведомственным Департаменту лесного хозяйства Томской области учреждением Областным государствен</w:t>
      </w:r>
      <w:r>
        <w:rPr>
          <w:rFonts w:ascii="PT Astra Serif" w:hAnsi="PT Astra Serif" w:cs="Times New Roman"/>
          <w:sz w:val="28"/>
          <w:szCs w:val="28"/>
        </w:rPr>
        <w:t xml:space="preserve">ным казенным учреждением «Томское управление лесами».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Федеральный государственный лесной контроль (надзор) данными органами контроля осуществляется</w:t>
      </w:r>
      <w:r>
        <w:rPr>
          <w:rFonts w:ascii="PT Astra Serif" w:hAnsi="PT Astra Serif" w:cs="Times New Roman"/>
          <w:sz w:val="28"/>
          <w:szCs w:val="28"/>
        </w:rPr>
        <w:t xml:space="preserve"> в соответствии с нормами Федерального закона от 31.07.2020 № 248-ФЗ «О государственном контроле (надзоре)</w:t>
      </w:r>
      <w:r>
        <w:rPr>
          <w:rFonts w:ascii="PT Astra Serif" w:hAnsi="PT Astra Serif" w:cs="Times New Roman"/>
          <w:sz w:val="28"/>
          <w:szCs w:val="28"/>
        </w:rPr>
        <w:t xml:space="preserve"> и </w:t>
      </w:r>
      <w:r>
        <w:rPr>
          <w:rFonts w:ascii="PT Astra Serif" w:hAnsi="PT Astra Serif" w:cs="Times New Roman"/>
          <w:sz w:val="28"/>
          <w:szCs w:val="28"/>
        </w:rPr>
        <w:t xml:space="preserve">муниципальном контроле </w:t>
        <w:br/>
        <w:t xml:space="preserve">в Российской Федерации», а также в соответствии с Положением о федеральном государственном лесном контроле (надзоре), утвержденном постановлением Правительства Российской Федерации </w:t>
      </w:r>
      <w:r>
        <w:rPr>
          <w:rFonts w:ascii="PT Astra Serif" w:hAnsi="PT Astra Serif" w:cs="Times New Roman"/>
          <w:sz w:val="28"/>
          <w:szCs w:val="28"/>
        </w:rPr>
        <w:t xml:space="preserve">от 30.06.2021 № 1098.</w:t>
      </w:r>
      <w:r/>
    </w:p>
    <w:p>
      <w:pPr>
        <w:ind w:firstLine="709"/>
        <w:jc w:val="both"/>
        <w:spacing w:after="0" w:line="240" w:lineRule="auto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Количество лиц, деятельность </w:t>
      </w:r>
      <w:r>
        <w:rPr>
          <w:rFonts w:ascii="PT Astra Serif" w:hAnsi="PT Astra Serif" w:cs="Times New Roman"/>
          <w:sz w:val="28"/>
          <w:szCs w:val="28"/>
        </w:rPr>
        <w:t xml:space="preserve">которых является объектом федерального государственного лесного контроля (надзора), составляет более 16000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/>
    </w:p>
    <w:p>
      <w:pPr>
        <w:ind w:firstLine="709"/>
        <w:jc w:val="both"/>
        <w:spacing w:after="0" w:line="240" w:lineRule="auto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 учетом введенных на основании постановления Правительства Российской Федерации от 10.03.2022 № 336</w:t>
      </w:r>
      <w:r>
        <w:rPr>
          <w:rFonts w:ascii="PT Astra Serif" w:hAnsi="PT Astra Serif" w:cs="Times New Roman"/>
          <w:sz w:val="28"/>
          <w:szCs w:val="28"/>
        </w:rPr>
        <w:t xml:space="preserve">, а также с учетом заданного Минэкономразвития России направления по снижению ад</w:t>
      </w:r>
      <w:r>
        <w:rPr>
          <w:rFonts w:ascii="PT Astra Serif" w:hAnsi="PT Astra Serif" w:cs="Times New Roman"/>
          <w:sz w:val="28"/>
          <w:szCs w:val="28"/>
        </w:rPr>
        <w:t xml:space="preserve">министративной нагрузки на хозяйствующие субъекты, Департаментом лесного хозяйства Томской области, 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 сделан акцент на проведение профилактических мероприятий по соблюдению обязательных требований лесного законодательства со стороны лиц, испо</w:t>
      </w:r>
      <w:r>
        <w:rPr>
          <w:rFonts w:ascii="PT Astra Serif" w:hAnsi="PT Astra Serif" w:cs="Times New Roman"/>
          <w:sz w:val="28"/>
          <w:szCs w:val="28"/>
        </w:rPr>
        <w:t xml:space="preserve">льзующих леса.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анализируемом периоде </w:t>
      </w:r>
      <w:r>
        <w:rPr>
          <w:rFonts w:ascii="PT Astra Serif" w:hAnsi="PT Astra Serif" w:cs="Times New Roman"/>
          <w:sz w:val="28"/>
          <w:szCs w:val="28"/>
        </w:rPr>
        <w:t xml:space="preserve">2024 </w:t>
      </w:r>
      <w:r>
        <w:rPr>
          <w:rFonts w:ascii="PT Astra Serif" w:hAnsi="PT Astra Serif" w:cs="Times New Roman"/>
          <w:sz w:val="28"/>
          <w:szCs w:val="28"/>
        </w:rPr>
        <w:t xml:space="preserve">года проведено значительное количество профилактических мероприятий (информирование, консультирование, обобщение правоохранительной практики)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связи с установленными ограничениями Департаментом, а также 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 в соответствии </w:t>
      </w:r>
      <w:r>
        <w:rPr>
          <w:rFonts w:ascii="PT Astra Serif" w:hAnsi="PT Astra Serif" w:cs="Times New Roman"/>
          <w:sz w:val="28"/>
          <w:szCs w:val="28"/>
        </w:rPr>
        <w:t xml:space="preserve">требованиями </w:t>
      </w:r>
      <w:r>
        <w:rPr>
          <w:rFonts w:ascii="PT Astra Serif" w:hAnsi="PT Astra Serif" w:cs="Times New Roman"/>
          <w:sz w:val="28"/>
          <w:szCs w:val="28"/>
        </w:rPr>
        <w:t xml:space="preserve">Федерального закона № 248-ФЗ, </w:t>
      </w:r>
      <w:r>
        <w:rPr>
          <w:rFonts w:ascii="PT Astra Serif" w:hAnsi="PT Astra Serif" w:cs="Times New Roman"/>
          <w:sz w:val="28"/>
          <w:szCs w:val="28"/>
        </w:rPr>
        <w:t xml:space="preserve">в истекшем периоде 2024 года </w:t>
      </w:r>
      <w:r>
        <w:rPr>
          <w:rFonts w:ascii="PT Astra Serif" w:hAnsi="PT Astra Serif" w:cs="Times New Roman"/>
          <w:sz w:val="28"/>
          <w:szCs w:val="28"/>
        </w:rPr>
        <w:t xml:space="preserve">проведено 122 выездных обследований.</w:t>
      </w:r>
      <w:r/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Всего по результатам проведенной контрольной (надзорной) деятельности сотрудниками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Департаментом и ОГКУ «</w:t>
      </w:r>
      <w:r>
        <w:rPr>
          <w:rFonts w:ascii="PT Astra Serif" w:hAnsi="PT Astra Serif" w:cs="Times New Roman"/>
          <w:sz w:val="28"/>
          <w:szCs w:val="28"/>
        </w:rPr>
        <w:t xml:space="preserve">Томсклес</w:t>
      </w:r>
      <w:r>
        <w:rPr>
          <w:rFonts w:ascii="PT Astra Serif" w:hAnsi="PT Astra Serif" w:cs="Times New Roman"/>
          <w:sz w:val="28"/>
          <w:szCs w:val="28"/>
        </w:rPr>
        <w:t xml:space="preserve">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выдано</w:t>
      </w:r>
      <w:r>
        <w:rPr>
          <w:rFonts w:ascii="PT Astra Serif" w:hAnsi="PT Astra Serif" w:cs="Times New Roman"/>
          <w:sz w:val="28"/>
          <w:szCs w:val="28"/>
        </w:rPr>
        <w:t xml:space="preserve"> 273 </w:t>
      </w:r>
      <w:r>
        <w:rPr>
          <w:rFonts w:ascii="PT Astra Serif" w:hAnsi="PT Astra Serif" w:cs="Times New Roman"/>
          <w:sz w:val="28"/>
          <w:szCs w:val="28"/>
        </w:rPr>
        <w:t xml:space="preserve">предостережения.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 целью оперативного реагирования организована круглосуточная ра</w:t>
      </w:r>
      <w:r>
        <w:rPr>
          <w:rFonts w:ascii="PT Astra Serif" w:hAnsi="PT Astra Serif" w:cs="Times New Roman"/>
          <w:sz w:val="28"/>
          <w:szCs w:val="28"/>
        </w:rPr>
        <w:t xml:space="preserve">бота по приему сообщений о совершаемых </w:t>
      </w:r>
      <w:r>
        <w:rPr>
          <w:rFonts w:ascii="PT Astra Serif" w:hAnsi="PT Astra Serif" w:cs="Times New Roman"/>
          <w:sz w:val="28"/>
          <w:szCs w:val="28"/>
        </w:rPr>
        <w:t xml:space="preserve">в лесу нарушениях через региональную диспетчерскую службу лесного хозяйства Томской области (РДС), позволяющую производить моментальный обмен</w:t>
      </w:r>
      <w:r>
        <w:rPr>
          <w:rFonts w:ascii="PT Astra Serif" w:hAnsi="PT Astra Serif" w:cs="Times New Roman"/>
          <w:sz w:val="28"/>
          <w:szCs w:val="28"/>
        </w:rPr>
        <w:t xml:space="preserve"> информацией между всеми участниками межведомственного взаимодействия.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На о</w:t>
      </w:r>
      <w:r>
        <w:rPr>
          <w:rFonts w:ascii="PT Astra Serif" w:hAnsi="PT Astra Serif" w:cs="Times New Roman"/>
          <w:sz w:val="28"/>
          <w:szCs w:val="28"/>
        </w:rPr>
        <w:t xml:space="preserve">фициальном сайте Департамента работает сервис прямого обращения граждан, позволяющий отправить текстовое сообщение о </w:t>
      </w:r>
      <w:r>
        <w:rPr>
          <w:rFonts w:ascii="PT Astra Serif" w:hAnsi="PT Astra Serif" w:cs="Times New Roman"/>
          <w:sz w:val="28"/>
          <w:szCs w:val="28"/>
        </w:rPr>
        <w:t xml:space="preserve">лесонарушении</w:t>
      </w:r>
      <w:r>
        <w:rPr>
          <w:rFonts w:ascii="PT Astra Serif" w:hAnsi="PT Astra Serif" w:cs="Times New Roman"/>
          <w:sz w:val="28"/>
          <w:szCs w:val="28"/>
        </w:rPr>
        <w:t xml:space="preserve">, прикрепив к нему фотографии, в том числе с привязкой к географическим координатам. Такие сообщения автоматически отображаютс</w:t>
      </w:r>
      <w:r>
        <w:rPr>
          <w:rFonts w:ascii="PT Astra Serif" w:hAnsi="PT Astra Serif" w:cs="Times New Roman"/>
          <w:sz w:val="28"/>
          <w:szCs w:val="28"/>
        </w:rPr>
        <w:t xml:space="preserve">я в вышеуказанном мобильном приложении.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Проверка поступивших сообщений проводится как сотрудниками Департамента, так и специалистами лесничеств в зависимости от отдалённости места возможного </w:t>
      </w:r>
      <w:r>
        <w:rPr>
          <w:rFonts w:ascii="PT Astra Serif" w:hAnsi="PT Astra Serif" w:cs="Times New Roman"/>
          <w:sz w:val="28"/>
          <w:szCs w:val="28"/>
        </w:rPr>
        <w:t xml:space="preserve">лесонарушения</w:t>
      </w:r>
      <w:r>
        <w:rPr>
          <w:rFonts w:ascii="PT Astra Serif" w:hAnsi="PT Astra Serif" w:cs="Times New Roman"/>
          <w:sz w:val="28"/>
          <w:szCs w:val="28"/>
        </w:rPr>
        <w:t xml:space="preserve"> и содержания поступившей информации.</w:t>
      </w:r>
      <w:r/>
    </w:p>
    <w:p>
      <w:pPr>
        <w:ind w:firstLine="709"/>
        <w:jc w:val="both"/>
        <w:spacing w:after="0" w:line="240" w:lineRule="auto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Предпринятые </w:t>
      </w:r>
      <w:r>
        <w:rPr>
          <w:rFonts w:ascii="PT Astra Serif" w:hAnsi="PT Astra Serif" w:cs="Times New Roman"/>
          <w:sz w:val="28"/>
          <w:szCs w:val="28"/>
        </w:rPr>
        <w:t xml:space="preserve">на территории Томской области меры позволили повысить эффективность борьбы с незаконными рубками и оборотом древесины, что в свою очередь позволило инспекторам лесной охраны региона из года в год добиваться положительных результатов на данном направлении д</w:t>
      </w:r>
      <w:r>
        <w:rPr>
          <w:rFonts w:ascii="PT Astra Serif" w:hAnsi="PT Astra Serif" w:cs="Times New Roman"/>
          <w:sz w:val="28"/>
          <w:szCs w:val="28"/>
        </w:rPr>
        <w:t xml:space="preserve">еятельности.</w:t>
      </w:r>
      <w:r/>
    </w:p>
    <w:p>
      <w:pPr>
        <w:ind w:firstLine="709"/>
        <w:jc w:val="both"/>
        <w:spacing w:after="0" w:line="240" w:lineRule="auto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На постоянной основе осуществляется регулярное межведомственное взаимодействие с органами МВД, ФСБ, прокуратурой, таможней и другими контролирующими органами.</w:t>
      </w:r>
      <w:r/>
    </w:p>
    <w:p>
      <w:pPr>
        <w:ind w:firstLine="709"/>
        <w:jc w:val="both"/>
        <w:spacing w:after="0" w:line="240" w:lineRule="auto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Положительно себя зарекомендовала практика проведения совместных межведомственных ме</w:t>
      </w:r>
      <w:r>
        <w:rPr>
          <w:rFonts w:ascii="PT Astra Serif" w:hAnsi="PT Astra Serif" w:cs="Times New Roman"/>
          <w:sz w:val="28"/>
          <w:szCs w:val="28"/>
        </w:rPr>
        <w:t xml:space="preserve">роприятий</w:t>
      </w:r>
      <w:r>
        <w:rPr>
          <w:rFonts w:ascii="PT Astra Serif" w:hAnsi="PT Astra Serif" w:cs="Times New Roman"/>
          <w:sz w:val="28"/>
          <w:szCs w:val="28"/>
        </w:rPr>
        <w:t xml:space="preserve"> с сотрудниками ОМВД России по Томской области, направленных на профилактику, выявление и пресечение нарушений требований лесного законодательства. </w:t>
      </w:r>
      <w:r/>
    </w:p>
    <w:p>
      <w:pPr>
        <w:ind w:firstLine="709"/>
        <w:jc w:val="both"/>
        <w:spacing w:after="0" w:line="240" w:lineRule="auto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2024 году Департаментом продолжена </w:t>
      </w:r>
      <w:r>
        <w:rPr>
          <w:rFonts w:ascii="PT Astra Serif" w:hAnsi="PT Astra Serif" w:cs="Times New Roman"/>
          <w:sz w:val="28"/>
          <w:szCs w:val="28"/>
        </w:rPr>
        <w:t xml:space="preserve">претензионно</w:t>
      </w:r>
      <w:r>
        <w:rPr>
          <w:rFonts w:ascii="PT Astra Serif" w:hAnsi="PT Astra Serif" w:cs="Times New Roman"/>
          <w:sz w:val="28"/>
          <w:szCs w:val="28"/>
        </w:rPr>
        <w:t xml:space="preserve">-исковая работа по понуждению лиц использующих леса </w:t>
      </w:r>
      <w:r>
        <w:rPr>
          <w:rFonts w:ascii="PT Astra Serif" w:hAnsi="PT Astra Serif" w:cs="Times New Roman"/>
          <w:sz w:val="28"/>
          <w:szCs w:val="28"/>
        </w:rPr>
        <w:t xml:space="preserve">к устранению ранее допущенных нарушений. При проведении данной работы к арендаторам лесных участков активно применяется такая мера судебног</w:t>
      </w:r>
      <w:r>
        <w:rPr>
          <w:rFonts w:ascii="PT Astra Serif" w:hAnsi="PT Astra Serif" w:cs="Times New Roman"/>
          <w:sz w:val="28"/>
          <w:szCs w:val="28"/>
        </w:rPr>
        <w:t xml:space="preserve">о понуждения как приостановка деятельности по заготовке древесины до полного устранения допущенных нарушений лесного законодательства.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Данная практика носит положительный эффект, поскольку ещё до вынесения судом решения большинство </w:t>
      </w:r>
      <w:r>
        <w:rPr>
          <w:rFonts w:ascii="PT Astra Serif" w:hAnsi="PT Astra Serif" w:cs="Times New Roman"/>
          <w:sz w:val="28"/>
          <w:szCs w:val="28"/>
        </w:rPr>
        <w:t xml:space="preserve">из арендаторов лесных уч</w:t>
      </w:r>
      <w:r>
        <w:rPr>
          <w:rFonts w:ascii="PT Astra Serif" w:hAnsi="PT Astra Serif" w:cs="Times New Roman"/>
          <w:sz w:val="28"/>
          <w:szCs w:val="28"/>
        </w:rPr>
        <w:t xml:space="preserve">астков принимают меры, направленные на выполнение мероприятий по воспроизводству лесов</w:t>
      </w:r>
      <w:r>
        <w:rPr>
          <w:rFonts w:ascii="PT Astra Serif" w:hAnsi="PT Astra Serif" w:cs="Times New Roman"/>
          <w:sz w:val="28"/>
          <w:szCs w:val="28"/>
        </w:rPr>
        <w:br/>
        <w:t xml:space="preserve">с целью избежать приостановления деятельности.</w:t>
      </w:r>
      <w:bookmarkStart w:id="0" w:name="_GoBack"/>
      <w:r/>
      <w:bookmarkEnd w:id="0"/>
      <w:r/>
      <w:r/>
    </w:p>
    <w:sectPr>
      <w:footnotePr/>
      <w:endnotePr/>
      <w:type w:val="nextPage"/>
      <w:pgSz w:w="11906" w:h="16838" w:orient="portrait"/>
      <w:pgMar w:top="850" w:right="567" w:bottom="1417" w:left="56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661"/>
    <w:link w:val="652"/>
    <w:uiPriority w:val="9"/>
    <w:rPr>
      <w:rFonts w:ascii="Arial" w:hAnsi="Arial" w:eastAsia="Arial" w:cs="Arial"/>
      <w:sz w:val="40"/>
      <w:szCs w:val="40"/>
    </w:rPr>
  </w:style>
  <w:style w:type="character" w:styleId="635">
    <w:name w:val="Heading 2 Char"/>
    <w:basedOn w:val="661"/>
    <w:link w:val="653"/>
    <w:uiPriority w:val="9"/>
    <w:rPr>
      <w:rFonts w:ascii="Arial" w:hAnsi="Arial" w:eastAsia="Arial" w:cs="Arial"/>
      <w:sz w:val="34"/>
    </w:rPr>
  </w:style>
  <w:style w:type="character" w:styleId="636">
    <w:name w:val="Heading 3 Char"/>
    <w:basedOn w:val="661"/>
    <w:link w:val="654"/>
    <w:uiPriority w:val="9"/>
    <w:rPr>
      <w:rFonts w:ascii="Arial" w:hAnsi="Arial" w:eastAsia="Arial" w:cs="Arial"/>
      <w:sz w:val="30"/>
      <w:szCs w:val="30"/>
    </w:rPr>
  </w:style>
  <w:style w:type="character" w:styleId="637">
    <w:name w:val="Heading 4 Char"/>
    <w:basedOn w:val="661"/>
    <w:link w:val="655"/>
    <w:uiPriority w:val="9"/>
    <w:rPr>
      <w:rFonts w:ascii="Arial" w:hAnsi="Arial" w:eastAsia="Arial" w:cs="Arial"/>
      <w:b/>
      <w:bCs/>
      <w:sz w:val="26"/>
      <w:szCs w:val="26"/>
    </w:rPr>
  </w:style>
  <w:style w:type="character" w:styleId="638">
    <w:name w:val="Heading 5 Char"/>
    <w:basedOn w:val="661"/>
    <w:link w:val="656"/>
    <w:uiPriority w:val="9"/>
    <w:rPr>
      <w:rFonts w:ascii="Arial" w:hAnsi="Arial" w:eastAsia="Arial" w:cs="Arial"/>
      <w:b/>
      <w:bCs/>
      <w:sz w:val="24"/>
      <w:szCs w:val="24"/>
    </w:rPr>
  </w:style>
  <w:style w:type="character" w:styleId="639">
    <w:name w:val="Heading 6 Char"/>
    <w:basedOn w:val="661"/>
    <w:link w:val="657"/>
    <w:uiPriority w:val="9"/>
    <w:rPr>
      <w:rFonts w:ascii="Arial" w:hAnsi="Arial" w:eastAsia="Arial" w:cs="Arial"/>
      <w:b/>
      <w:bCs/>
      <w:sz w:val="22"/>
      <w:szCs w:val="22"/>
    </w:rPr>
  </w:style>
  <w:style w:type="character" w:styleId="640">
    <w:name w:val="Heading 7 Char"/>
    <w:basedOn w:val="661"/>
    <w:link w:val="6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41">
    <w:name w:val="Heading 8 Char"/>
    <w:basedOn w:val="661"/>
    <w:link w:val="659"/>
    <w:uiPriority w:val="9"/>
    <w:rPr>
      <w:rFonts w:ascii="Arial" w:hAnsi="Arial" w:eastAsia="Arial" w:cs="Arial"/>
      <w:i/>
      <w:iCs/>
      <w:sz w:val="22"/>
      <w:szCs w:val="22"/>
    </w:rPr>
  </w:style>
  <w:style w:type="character" w:styleId="642">
    <w:name w:val="Heading 9 Char"/>
    <w:basedOn w:val="661"/>
    <w:link w:val="660"/>
    <w:uiPriority w:val="9"/>
    <w:rPr>
      <w:rFonts w:ascii="Arial" w:hAnsi="Arial" w:eastAsia="Arial" w:cs="Arial"/>
      <w:i/>
      <w:iCs/>
      <w:sz w:val="21"/>
      <w:szCs w:val="21"/>
    </w:rPr>
  </w:style>
  <w:style w:type="character" w:styleId="643">
    <w:name w:val="Title Char"/>
    <w:basedOn w:val="661"/>
    <w:link w:val="675"/>
    <w:uiPriority w:val="10"/>
    <w:rPr>
      <w:sz w:val="48"/>
      <w:szCs w:val="48"/>
    </w:rPr>
  </w:style>
  <w:style w:type="character" w:styleId="644">
    <w:name w:val="Subtitle Char"/>
    <w:basedOn w:val="661"/>
    <w:link w:val="677"/>
    <w:uiPriority w:val="11"/>
    <w:rPr>
      <w:sz w:val="24"/>
      <w:szCs w:val="24"/>
    </w:rPr>
  </w:style>
  <w:style w:type="character" w:styleId="645">
    <w:name w:val="Quote Char"/>
    <w:link w:val="679"/>
    <w:uiPriority w:val="29"/>
    <w:rPr>
      <w:i/>
    </w:rPr>
  </w:style>
  <w:style w:type="character" w:styleId="646">
    <w:name w:val="Intense Quote Char"/>
    <w:link w:val="681"/>
    <w:uiPriority w:val="30"/>
    <w:rPr>
      <w:i/>
    </w:rPr>
  </w:style>
  <w:style w:type="character" w:styleId="647">
    <w:name w:val="Header Char"/>
    <w:basedOn w:val="661"/>
    <w:link w:val="683"/>
    <w:uiPriority w:val="99"/>
  </w:style>
  <w:style w:type="character" w:styleId="648">
    <w:name w:val="Caption Char"/>
    <w:basedOn w:val="687"/>
    <w:link w:val="685"/>
    <w:uiPriority w:val="99"/>
  </w:style>
  <w:style w:type="character" w:styleId="649">
    <w:name w:val="Footnote Text Char"/>
    <w:link w:val="814"/>
    <w:uiPriority w:val="99"/>
    <w:rPr>
      <w:sz w:val="18"/>
    </w:rPr>
  </w:style>
  <w:style w:type="character" w:styleId="650">
    <w:name w:val="Endnote Text Char"/>
    <w:link w:val="817"/>
    <w:uiPriority w:val="99"/>
    <w:rPr>
      <w:sz w:val="20"/>
    </w:rPr>
  </w:style>
  <w:style w:type="paragraph" w:styleId="651" w:default="1">
    <w:name w:val="Normal"/>
    <w:qFormat/>
  </w:style>
  <w:style w:type="paragraph" w:styleId="652">
    <w:name w:val="Heading 1"/>
    <w:basedOn w:val="651"/>
    <w:next w:val="651"/>
    <w:link w:val="6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53">
    <w:name w:val="Heading 2"/>
    <w:basedOn w:val="651"/>
    <w:next w:val="651"/>
    <w:link w:val="66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54">
    <w:name w:val="Heading 3"/>
    <w:basedOn w:val="651"/>
    <w:next w:val="651"/>
    <w:link w:val="66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55">
    <w:name w:val="Heading 4"/>
    <w:basedOn w:val="651"/>
    <w:next w:val="651"/>
    <w:link w:val="66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56">
    <w:name w:val="Heading 5"/>
    <w:basedOn w:val="651"/>
    <w:next w:val="651"/>
    <w:link w:val="66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57">
    <w:name w:val="Heading 6"/>
    <w:basedOn w:val="651"/>
    <w:next w:val="651"/>
    <w:link w:val="66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58">
    <w:name w:val="Heading 7"/>
    <w:basedOn w:val="651"/>
    <w:next w:val="651"/>
    <w:link w:val="67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59">
    <w:name w:val="Heading 8"/>
    <w:basedOn w:val="651"/>
    <w:next w:val="651"/>
    <w:link w:val="67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60">
    <w:name w:val="Heading 9"/>
    <w:basedOn w:val="651"/>
    <w:next w:val="651"/>
    <w:link w:val="67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 w:default="1">
    <w:name w:val="Default Paragraph Font"/>
    <w:uiPriority w:val="1"/>
    <w:semiHidden/>
    <w:unhideWhenUsed/>
  </w:style>
  <w:style w:type="table" w:styleId="6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3" w:default="1">
    <w:name w:val="No List"/>
    <w:uiPriority w:val="99"/>
    <w:semiHidden/>
    <w:unhideWhenUsed/>
  </w:style>
  <w:style w:type="character" w:styleId="664" w:customStyle="1">
    <w:name w:val="Заголовок 1 Знак"/>
    <w:basedOn w:val="661"/>
    <w:link w:val="652"/>
    <w:uiPriority w:val="9"/>
    <w:rPr>
      <w:rFonts w:ascii="Arial" w:hAnsi="Arial" w:eastAsia="Arial" w:cs="Arial"/>
      <w:sz w:val="40"/>
      <w:szCs w:val="40"/>
    </w:rPr>
  </w:style>
  <w:style w:type="character" w:styleId="665" w:customStyle="1">
    <w:name w:val="Заголовок 2 Знак"/>
    <w:basedOn w:val="661"/>
    <w:link w:val="653"/>
    <w:uiPriority w:val="9"/>
    <w:rPr>
      <w:rFonts w:ascii="Arial" w:hAnsi="Arial" w:eastAsia="Arial" w:cs="Arial"/>
      <w:sz w:val="34"/>
    </w:rPr>
  </w:style>
  <w:style w:type="character" w:styleId="666" w:customStyle="1">
    <w:name w:val="Заголовок 3 Знак"/>
    <w:basedOn w:val="661"/>
    <w:link w:val="654"/>
    <w:uiPriority w:val="9"/>
    <w:rPr>
      <w:rFonts w:ascii="Arial" w:hAnsi="Arial" w:eastAsia="Arial" w:cs="Arial"/>
      <w:sz w:val="30"/>
      <w:szCs w:val="30"/>
    </w:rPr>
  </w:style>
  <w:style w:type="character" w:styleId="667" w:customStyle="1">
    <w:name w:val="Заголовок 4 Знак"/>
    <w:basedOn w:val="661"/>
    <w:link w:val="655"/>
    <w:uiPriority w:val="9"/>
    <w:rPr>
      <w:rFonts w:ascii="Arial" w:hAnsi="Arial" w:eastAsia="Arial" w:cs="Arial"/>
      <w:b/>
      <w:bCs/>
      <w:sz w:val="26"/>
      <w:szCs w:val="26"/>
    </w:rPr>
  </w:style>
  <w:style w:type="character" w:styleId="668" w:customStyle="1">
    <w:name w:val="Заголовок 5 Знак"/>
    <w:basedOn w:val="661"/>
    <w:link w:val="656"/>
    <w:uiPriority w:val="9"/>
    <w:rPr>
      <w:rFonts w:ascii="Arial" w:hAnsi="Arial" w:eastAsia="Arial" w:cs="Arial"/>
      <w:b/>
      <w:bCs/>
      <w:sz w:val="24"/>
      <w:szCs w:val="24"/>
    </w:rPr>
  </w:style>
  <w:style w:type="character" w:styleId="669" w:customStyle="1">
    <w:name w:val="Заголовок 6 Знак"/>
    <w:basedOn w:val="661"/>
    <w:link w:val="657"/>
    <w:uiPriority w:val="9"/>
    <w:rPr>
      <w:rFonts w:ascii="Arial" w:hAnsi="Arial" w:eastAsia="Arial" w:cs="Arial"/>
      <w:b/>
      <w:bCs/>
      <w:sz w:val="22"/>
      <w:szCs w:val="22"/>
    </w:rPr>
  </w:style>
  <w:style w:type="character" w:styleId="670" w:customStyle="1">
    <w:name w:val="Заголовок 7 Знак"/>
    <w:basedOn w:val="661"/>
    <w:link w:val="6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 w:customStyle="1">
    <w:name w:val="Заголовок 8 Знак"/>
    <w:basedOn w:val="661"/>
    <w:link w:val="659"/>
    <w:uiPriority w:val="9"/>
    <w:rPr>
      <w:rFonts w:ascii="Arial" w:hAnsi="Arial" w:eastAsia="Arial" w:cs="Arial"/>
      <w:i/>
      <w:iCs/>
      <w:sz w:val="22"/>
      <w:szCs w:val="22"/>
    </w:rPr>
  </w:style>
  <w:style w:type="character" w:styleId="672" w:customStyle="1">
    <w:name w:val="Заголовок 9 Знак"/>
    <w:basedOn w:val="661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651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after="0" w:line="240" w:lineRule="auto"/>
    </w:pPr>
  </w:style>
  <w:style w:type="paragraph" w:styleId="675">
    <w:name w:val="Title"/>
    <w:basedOn w:val="651"/>
    <w:next w:val="651"/>
    <w:link w:val="676"/>
    <w:uiPriority w:val="10"/>
    <w:qFormat/>
    <w:pPr>
      <w:contextualSpacing/>
      <w:spacing w:before="300"/>
    </w:pPr>
    <w:rPr>
      <w:sz w:val="48"/>
      <w:szCs w:val="48"/>
    </w:rPr>
  </w:style>
  <w:style w:type="character" w:styleId="676" w:customStyle="1">
    <w:name w:val="Название Знак"/>
    <w:basedOn w:val="661"/>
    <w:link w:val="675"/>
    <w:uiPriority w:val="10"/>
    <w:rPr>
      <w:sz w:val="48"/>
      <w:szCs w:val="48"/>
    </w:rPr>
  </w:style>
  <w:style w:type="paragraph" w:styleId="677">
    <w:name w:val="Subtitle"/>
    <w:basedOn w:val="651"/>
    <w:next w:val="651"/>
    <w:link w:val="678"/>
    <w:uiPriority w:val="11"/>
    <w:qFormat/>
    <w:pPr>
      <w:spacing w:before="200"/>
    </w:pPr>
    <w:rPr>
      <w:sz w:val="24"/>
      <w:szCs w:val="24"/>
    </w:rPr>
  </w:style>
  <w:style w:type="character" w:styleId="678" w:customStyle="1">
    <w:name w:val="Подзаголовок Знак"/>
    <w:basedOn w:val="661"/>
    <w:link w:val="677"/>
    <w:uiPriority w:val="11"/>
    <w:rPr>
      <w:sz w:val="24"/>
      <w:szCs w:val="24"/>
    </w:rPr>
  </w:style>
  <w:style w:type="paragraph" w:styleId="679">
    <w:name w:val="Quote"/>
    <w:basedOn w:val="651"/>
    <w:next w:val="651"/>
    <w:link w:val="680"/>
    <w:uiPriority w:val="29"/>
    <w:qFormat/>
    <w:pPr>
      <w:ind w:left="720" w:right="720"/>
    </w:pPr>
    <w:rPr>
      <w:i/>
    </w:rPr>
  </w:style>
  <w:style w:type="character" w:styleId="680" w:customStyle="1">
    <w:name w:val="Цитата 2 Знак"/>
    <w:link w:val="679"/>
    <w:uiPriority w:val="29"/>
    <w:rPr>
      <w:i/>
    </w:rPr>
  </w:style>
  <w:style w:type="paragraph" w:styleId="681">
    <w:name w:val="Intense Quote"/>
    <w:basedOn w:val="651"/>
    <w:next w:val="651"/>
    <w:link w:val="682"/>
    <w:uiPriority w:val="30"/>
    <w:qFormat/>
    <w:pPr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 w:customStyle="1">
    <w:name w:val="Выделенная цитата Знак"/>
    <w:link w:val="681"/>
    <w:uiPriority w:val="30"/>
    <w:rPr>
      <w:i/>
    </w:rPr>
  </w:style>
  <w:style w:type="paragraph" w:styleId="683">
    <w:name w:val="Header"/>
    <w:basedOn w:val="65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 w:customStyle="1">
    <w:name w:val="Верхний колонтитул Знак"/>
    <w:basedOn w:val="661"/>
    <w:link w:val="683"/>
    <w:uiPriority w:val="99"/>
  </w:style>
  <w:style w:type="paragraph" w:styleId="685">
    <w:name w:val="Footer"/>
    <w:basedOn w:val="651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 w:customStyle="1">
    <w:name w:val="Footer Char"/>
    <w:basedOn w:val="661"/>
    <w:uiPriority w:val="99"/>
  </w:style>
  <w:style w:type="paragraph" w:styleId="687">
    <w:name w:val="Caption"/>
    <w:basedOn w:val="651"/>
    <w:next w:val="65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88" w:customStyle="1">
    <w:name w:val="Нижний колонтитул Знак"/>
    <w:link w:val="685"/>
    <w:uiPriority w:val="99"/>
  </w:style>
  <w:style w:type="table" w:styleId="689" w:customStyle="1">
    <w:name w:val="Table Grid Light"/>
    <w:basedOn w:val="66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90" w:customStyle="1">
    <w:name w:val="Plain Table 1"/>
    <w:basedOn w:val="66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fill="f2f2f2" w:themeFill="text1" w:themeFillTint="0D"/>
      </w:tcPr>
    </w:tblStylePr>
    <w:tblStylePr w:type="band1Vert">
      <w:tcPr>
        <w:shd w:val="clear" w:color="ffffff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 w:customStyle="1">
    <w:name w:val="Plain Table 2"/>
    <w:basedOn w:val="66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 w:customStyle="1">
    <w:name w:val="Plain Table 3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 w:customStyle="1">
    <w:name w:val="Plain Table 4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 w:customStyle="1">
    <w:name w:val="Plain Table 5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 w:customStyle="1">
    <w:name w:val="Grid Table 1 Light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 w:customStyle="1">
    <w:name w:val="Grid Table 1 Light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Grid Table 1 Light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Grid Table 1 Light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1 Light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1 Light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2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2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2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2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2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3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3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4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 w:customStyle="1">
    <w:name w:val="Grid Table 4 - Accent 1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18" w:customStyle="1">
    <w:name w:val="Grid Table 4 - Accent 2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19" w:customStyle="1">
    <w:name w:val="Grid Table 4 - Accent 3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0" w:customStyle="1">
    <w:name w:val="Grid Table 4 - Accent 4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1" w:customStyle="1">
    <w:name w:val="Grid Table 4 - Accent 5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2" w:customStyle="1">
    <w:name w:val="Grid Table 4 - Accent 6"/>
    <w:basedOn w:val="66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3" w:customStyle="1">
    <w:name w:val="Grid Table 5 Dark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bfbfbf" w:themeFill="text1" w:themeFillTint="40"/>
    </w:tblPr>
    <w:tblStylePr w:type="band1Horz">
      <w:tcPr>
        <w:shd w:val="clear" w:color="ffffff" w:fill="8a8a8a" w:themeFill="text1" w:themeFillTint="75"/>
      </w:tcPr>
    </w:tblStylePr>
    <w:tblStylePr w:type="band1Vert">
      <w:tcPr>
        <w:shd w:val="clear" w:color="ffffff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000000" w:themeFill="text1"/>
        <w:tcBorders>
          <w:top w:val="single" w:color="FFFFFF" w:themeColor="light1" w:sz="4" w:space="0"/>
        </w:tcBorders>
      </w:tcPr>
    </w:tblStylePr>
  </w:style>
  <w:style w:type="table" w:styleId="724" w:customStyle="1">
    <w:name w:val="Grid Table 5 Dark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ae5f1" w:themeFill="accent1" w:themeFillTint="34"/>
    </w:tblPr>
    <w:tblStylePr w:type="band1Horz">
      <w:tcPr>
        <w:shd w:val="clear" w:color="ffffff" w:fill="aec4e0" w:themeFill="accent1" w:themeFillTint="75"/>
      </w:tcPr>
    </w:tblStylePr>
    <w:tblStylePr w:type="band1Vert">
      <w:tcPr>
        <w:shd w:val="clear" w:color="ffffff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4f81bd" w:themeFill="accent1"/>
        <w:tcBorders>
          <w:top w:val="single" w:color="FFFFFF" w:themeColor="light1" w:sz="4" w:space="0"/>
        </w:tcBorders>
      </w:tcPr>
    </w:tblStylePr>
  </w:style>
  <w:style w:type="table" w:styleId="725" w:customStyle="1">
    <w:name w:val="Grid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2dcdc" w:themeFill="accent2" w:themeFillTint="32"/>
    </w:tblPr>
    <w:tblStylePr w:type="band1Horz">
      <w:tcPr>
        <w:shd w:val="clear" w:color="ffffff" w:fill="e2aead" w:themeFill="accent2" w:themeFillTint="75"/>
      </w:tcPr>
    </w:tblStylePr>
    <w:tblStylePr w:type="band1Vert">
      <w:tcPr>
        <w:shd w:val="clear" w:color="ffffff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c0504d" w:themeFill="accent2"/>
        <w:tcBorders>
          <w:top w:val="single" w:color="FFFFFF" w:themeColor="light1" w:sz="4" w:space="0"/>
        </w:tcBorders>
      </w:tcPr>
    </w:tblStylePr>
  </w:style>
  <w:style w:type="table" w:styleId="726" w:customStyle="1">
    <w:name w:val="Grid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af1dc" w:themeFill="accent3" w:themeFillTint="34"/>
    </w:tblPr>
    <w:tblStylePr w:type="band1Horz">
      <w:tcPr>
        <w:shd w:val="clear" w:color="ffffff" w:fill="d0dfb2" w:themeFill="accent3" w:themeFillTint="75"/>
      </w:tcPr>
    </w:tblStylePr>
    <w:tblStylePr w:type="band1Vert">
      <w:tcPr>
        <w:shd w:val="clear" w:color="ffffff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9bbb59" w:themeFill="accent3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e5dfec" w:themeFill="accent4" w:themeFillTint="34"/>
    </w:tblPr>
    <w:tblStylePr w:type="band1Horz">
      <w:tcPr>
        <w:shd w:val="clear" w:color="ffffff" w:fill="c4b7d4" w:themeFill="accent4" w:themeFillTint="75"/>
      </w:tcPr>
    </w:tblStylePr>
    <w:tblStylePr w:type="band1Vert">
      <w:tcPr>
        <w:shd w:val="clear" w:color="ffffff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8064a2" w:themeFill="accent4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daeef3" w:themeFill="accent5" w:themeFillTint="34"/>
    </w:tblPr>
    <w:tblStylePr w:type="band1Horz">
      <w:tcPr>
        <w:shd w:val="clear" w:color="ffffff" w:fill="acd8e4" w:themeFill="accent5" w:themeFillTint="75"/>
      </w:tcPr>
    </w:tblStylePr>
    <w:tblStylePr w:type="band1Vert">
      <w:tcPr>
        <w:shd w:val="clear" w:color="ffffff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4bacc6" w:themeFill="accent5"/>
        <w:tcBorders>
          <w:top w:val="single" w:color="FFFFFF" w:themeColor="light1" w:sz="4" w:space="0"/>
        </w:tcBorders>
      </w:tcPr>
    </w:tblStylePr>
  </w:style>
  <w:style w:type="table" w:styleId="729" w:customStyle="1">
    <w:name w:val="Grid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fff" w:fill="fde9d8" w:themeFill="accent6" w:themeFillTint="34"/>
    </w:tblPr>
    <w:tblStylePr w:type="band1Horz">
      <w:tcPr>
        <w:shd w:val="clear" w:color="ffffff" w:fill="fbceaa" w:themeFill="accent6" w:themeFillTint="75"/>
      </w:tcPr>
    </w:tblStylePr>
    <w:tblStylePr w:type="band1Vert">
      <w:tcPr>
        <w:shd w:val="clear" w:color="ffffff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79646" w:themeFill="accent6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6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cbcbcb" w:themeFill="text1" w:themeFillTint="34"/>
      </w:tcPr>
    </w:tblStylePr>
    <w:tblStylePr w:type="band1Vert"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1" w:customStyle="1">
    <w:name w:val="Grid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ffffff" w:fill="dae5f1" w:themeFill="accent1" w:themeFillTint="34"/>
      </w:tcPr>
    </w:tblStylePr>
    <w:tblStylePr w:type="band1Vert"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2" w:customStyle="1">
    <w:name w:val="Grid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f2dcdc" w:themeFill="accent2" w:themeFillTint="32"/>
      </w:tcPr>
    </w:tblStylePr>
    <w:tblStylePr w:type="band1Vert"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3" w:customStyle="1">
    <w:name w:val="Grid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ffffff" w:fill="eaf1dc" w:themeFill="accent3" w:themeFillTint="34"/>
      </w:tcPr>
    </w:tblStylePr>
    <w:tblStylePr w:type="band1Vert"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34" w:customStyle="1">
    <w:name w:val="Grid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e5dfec" w:themeFill="accent4" w:themeFillTint="34"/>
      </w:tcPr>
    </w:tblStylePr>
    <w:tblStylePr w:type="band1Vert"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35" w:customStyle="1">
    <w:name w:val="Grid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daeef3" w:themeFill="accent5" w:themeFillTint="34"/>
      </w:tcPr>
    </w:tblStylePr>
    <w:tblStylePr w:type="band1Vert"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36" w:customStyle="1">
    <w:name w:val="Grid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fde9d8" w:themeFill="accent6" w:themeFillTint="34"/>
      </w:tcPr>
    </w:tblStylePr>
    <w:tblStylePr w:type="band1Vert"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37" w:customStyle="1">
    <w:name w:val="Grid Table 7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f2f2f2" w:themeFill="text1" w:themeFillTint="0D"/>
      </w:tcPr>
    </w:tblStylePr>
    <w:tblStylePr w:type="band1Vert"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ffffff" w:fill="dae5f1" w:themeFill="accent1" w:themeFillTint="34"/>
      </w:tcPr>
    </w:tblStylePr>
    <w:tblStylePr w:type="band1Vert"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f2dcdc" w:themeFill="accent2" w:themeFillTint="32"/>
      </w:tcPr>
    </w:tblStylePr>
    <w:tblStylePr w:type="band1Vert"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ffffff" w:fill="eaf1dc" w:themeFill="accent3" w:themeFillTint="34"/>
      </w:tcPr>
    </w:tblStylePr>
    <w:tblStylePr w:type="band1Vert"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e5dfec" w:themeFill="accent4" w:themeFillTint="34"/>
      </w:tcPr>
    </w:tblStylePr>
    <w:tblStylePr w:type="band1Vert"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fill="daeef3" w:themeFill="accent5" w:themeFillTint="34"/>
      </w:tcPr>
    </w:tblStylePr>
    <w:tblStylePr w:type="band1Vert"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fffff" w:fill="fde9d8" w:themeFill="accent6" w:themeFillTint="34"/>
      </w:tcPr>
    </w:tblStylePr>
    <w:tblStylePr w:type="band1Vert"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List Table 1 Light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List Table 1 Light - Accent 1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2dfee" w:themeFill="accent1" w:themeFillTint="40"/>
      </w:tcPr>
    </w:tblStylePr>
    <w:tblStylePr w:type="band1Vert">
      <w:tcPr>
        <w:shd w:val="clear" w:color="ffffff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List Table 1 Light - Accent 2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efd2d2" w:themeFill="accent2" w:themeFillTint="40"/>
      </w:tcPr>
    </w:tblStylePr>
    <w:tblStylePr w:type="band1Vert">
      <w:tcPr>
        <w:shd w:val="clear" w:color="ffffff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List Table 1 Light - Accent 3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e5eed5" w:themeFill="accent3" w:themeFillTint="40"/>
      </w:tcPr>
    </w:tblStylePr>
    <w:tblStylePr w:type="band1Vert">
      <w:tcPr>
        <w:shd w:val="clear" w:color="ffffff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4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fd8e7" w:themeFill="accent4" w:themeFillTint="40"/>
      </w:tcPr>
    </w:tblStylePr>
    <w:tblStylePr w:type="band1Vert">
      <w:tcPr>
        <w:shd w:val="clear" w:color="ffffff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1 Light - Accent 5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1eaf0" w:themeFill="accent5" w:themeFillTint="40"/>
      </w:tcPr>
    </w:tblStylePr>
    <w:tblStylePr w:type="band1Vert">
      <w:tcPr>
        <w:shd w:val="clear" w:color="ffffff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 - Accent 6"/>
    <w:basedOn w:val="66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fde4d0" w:themeFill="accent6" w:themeFillTint="40"/>
      </w:tcPr>
    </w:tblStylePr>
    <w:tblStylePr w:type="band1Vert">
      <w:tcPr>
        <w:shd w:val="clear" w:color="ffffff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2" w:customStyle="1">
    <w:name w:val="List Table 2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3" w:customStyle="1">
    <w:name w:val="List Table 2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54" w:customStyle="1">
    <w:name w:val="List Table 2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56" w:customStyle="1">
    <w:name w:val="List Table 2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57" w:customStyle="1">
    <w:name w:val="List Table 2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58" w:customStyle="1">
    <w:name w:val="List Table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List Table 3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List Table 3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List Table 3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3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3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4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4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4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5 Dark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ffffff" w:fill="7f7f7f" w:themeFill="text1" w:themeFillTint="80"/>
    </w:tblPr>
    <w:tblStylePr w:type="band1Horz">
      <w:tcPr>
        <w:shd w:val="clear" w:color="fffff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3" w:customStyle="1">
    <w:name w:val="List Table 5 Dark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ffffff" w:fill="4f81bd" w:themeFill="accent1"/>
    </w:tblPr>
    <w:tblStylePr w:type="band1Horz">
      <w:tcPr>
        <w:shd w:val="clear" w:color="ffffff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4" w:customStyle="1">
    <w:name w:val="List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ffffff" w:fill="d99695" w:themeFill="accent2" w:themeFillTint="97"/>
    </w:tblPr>
    <w:tblStylePr w:type="band1Horz">
      <w:tcPr>
        <w:shd w:val="clear" w:color="ffffff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5" w:customStyle="1">
    <w:name w:val="List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ffffff" w:fill="c3d69b" w:themeFill="accent3" w:themeFillTint="98"/>
    </w:tblPr>
    <w:tblStylePr w:type="band1Horz">
      <w:tcPr>
        <w:shd w:val="clear" w:color="ffffff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6" w:customStyle="1">
    <w:name w:val="List Table 5 Dark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ffffff" w:fill="b2a1c6" w:themeFill="accent4" w:themeFillTint="9A"/>
    </w:tblPr>
    <w:tblStylePr w:type="band1Horz">
      <w:tcPr>
        <w:shd w:val="clear" w:color="ffffff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7" w:customStyle="1">
    <w:name w:val="List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ffffff" w:fill="92ccdc" w:themeFill="accent5" w:themeFillTint="9A"/>
    </w:tblPr>
    <w:tblStylePr w:type="band1Horz">
      <w:tcPr>
        <w:shd w:val="clear" w:color="ffffff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8" w:customStyle="1">
    <w:name w:val="List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fffff" w:fill="fac090" w:themeFill="accent6" w:themeFillTint="98"/>
    </w:tblPr>
    <w:tblStylePr w:type="band1Horz">
      <w:tcPr>
        <w:shd w:val="clear" w:color="ffffff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ffff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ffff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6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0" w:customStyle="1">
    <w:name w:val="List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ffffff" w:fill="d2dfee" w:themeFill="accent1" w:themeFillTint="40"/>
      </w:tcPr>
    </w:tblStylePr>
    <w:tblStylePr w:type="band1Vert"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1" w:customStyle="1">
    <w:name w:val="List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efd2d2" w:themeFill="accent2" w:themeFillTint="40"/>
      </w:tcPr>
    </w:tblStylePr>
    <w:tblStylePr w:type="band1Vert"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List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ffffff" w:fill="e5eed5" w:themeFill="accent3" w:themeFillTint="40"/>
      </w:tcPr>
    </w:tblStylePr>
    <w:tblStylePr w:type="band1Vert"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3" w:customStyle="1">
    <w:name w:val="List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dfd8e7" w:themeFill="accent4" w:themeFillTint="40"/>
      </w:tcPr>
    </w:tblStylePr>
    <w:tblStylePr w:type="band1Vert"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List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ffffff" w:fill="d1eaf0" w:themeFill="accent5" w:themeFillTint="40"/>
      </w:tcPr>
    </w:tblStylePr>
    <w:tblStylePr w:type="band1Vert"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85" w:customStyle="1">
    <w:name w:val="List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fffff" w:fill="fde4d0" w:themeFill="accent6" w:themeFillTint="40"/>
      </w:tcPr>
    </w:tblStylePr>
    <w:tblStylePr w:type="band1Vert"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86" w:customStyle="1">
    <w:name w:val="List Table 7 Colorful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ffffff" w:fill="d2dfee" w:themeFill="accent1" w:themeFillTint="40"/>
      </w:tcPr>
    </w:tblStylePr>
    <w:tblStylePr w:type="band1Vert"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fffff" w:fill="efd2d2" w:themeFill="accent2" w:themeFillTint="40"/>
      </w:tcPr>
    </w:tblStylePr>
    <w:tblStylePr w:type="band1Vert"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ffffff" w:fill="e5eed5" w:themeFill="accent3" w:themeFillTint="40"/>
      </w:tcPr>
    </w:tblStylePr>
    <w:tblStylePr w:type="band1Vert"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ffffff" w:fill="dfd8e7" w:themeFill="accent4" w:themeFillTint="40"/>
      </w:tcPr>
    </w:tblStylePr>
    <w:tblStylePr w:type="band1Vert"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ffffff" w:fill="d1eaf0" w:themeFill="accent5" w:themeFillTint="40"/>
      </w:tcPr>
    </w:tblStylePr>
    <w:tblStylePr w:type="band1Vert"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fffff" w:fill="fde4d0" w:themeFill="accent6" w:themeFillTint="40"/>
      </w:tcPr>
    </w:tblStylePr>
    <w:tblStylePr w:type="band1Vert"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ned - Accent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794" w:customStyle="1">
    <w:name w:val="Lined - Accent 1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</w:style>
  <w:style w:type="table" w:styleId="795" w:customStyle="1">
    <w:name w:val="Lined - Accent 2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</w:style>
  <w:style w:type="table" w:styleId="796" w:customStyle="1">
    <w:name w:val="Lined - Accent 3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</w:style>
  <w:style w:type="table" w:styleId="797" w:customStyle="1">
    <w:name w:val="Lined - Accent 4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</w:style>
  <w:style w:type="table" w:styleId="798" w:customStyle="1">
    <w:name w:val="Lined - Accent 5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</w:style>
  <w:style w:type="table" w:styleId="799" w:customStyle="1">
    <w:name w:val="Lined - Accent 6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</w:style>
  <w:style w:type="table" w:styleId="800" w:customStyle="1">
    <w:name w:val="Bordered &amp; Lined - Accent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f7f7f" w:themeFill="text1" w:themeFillTint="80"/>
      </w:tcPr>
    </w:tblStylePr>
  </w:style>
  <w:style w:type="table" w:styleId="801" w:customStyle="1">
    <w:name w:val="Bordered &amp; Lined - Accent 1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ac2" w:themeFill="accent1" w:themeFillTint="EA"/>
      </w:tcPr>
    </w:tblStylePr>
  </w:style>
  <w:style w:type="table" w:styleId="802" w:customStyle="1">
    <w:name w:val="Bordered &amp; Lined - Accent 2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695" w:themeFill="accent2" w:themeFillTint="97"/>
      </w:tcPr>
    </w:tblStylePr>
  </w:style>
  <w:style w:type="table" w:styleId="803" w:customStyle="1">
    <w:name w:val="Bordered &amp; Lined - Accent 3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abb59" w:themeFill="accent3" w:themeFillTint="FE"/>
      </w:tcPr>
    </w:tblStylePr>
  </w:style>
  <w:style w:type="table" w:styleId="804" w:customStyle="1">
    <w:name w:val="Bordered &amp; Lined - Accent 4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</w:style>
  <w:style w:type="table" w:styleId="805" w:customStyle="1">
    <w:name w:val="Bordered &amp; Lined - Accent 5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</w:style>
  <w:style w:type="table" w:styleId="806" w:customStyle="1">
    <w:name w:val="Bordered &amp; Lined - Accent 6"/>
    <w:basedOn w:val="66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</w:style>
  <w:style w:type="table" w:styleId="807" w:customStyle="1">
    <w:name w:val="Bordered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08" w:customStyle="1">
    <w:name w:val="Bordered - Accent 1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09" w:customStyle="1">
    <w:name w:val="Bordered - Accent 2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0" w:customStyle="1">
    <w:name w:val="Bordered - Accent 3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1" w:customStyle="1">
    <w:name w:val="Bordered - Accent 4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2" w:customStyle="1">
    <w:name w:val="Bordered - Accent 5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3" w:customStyle="1">
    <w:name w:val="Bordered - Accent 6"/>
    <w:basedOn w:val="66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14">
    <w:name w:val="footnote text"/>
    <w:basedOn w:val="65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 w:customStyle="1">
    <w:name w:val="Текст сноски Знак"/>
    <w:link w:val="814"/>
    <w:uiPriority w:val="99"/>
    <w:rPr>
      <w:sz w:val="18"/>
    </w:rPr>
  </w:style>
  <w:style w:type="character" w:styleId="816">
    <w:name w:val="footnote reference"/>
    <w:basedOn w:val="661"/>
    <w:uiPriority w:val="99"/>
    <w:unhideWhenUsed/>
    <w:rPr>
      <w:vertAlign w:val="superscript"/>
    </w:rPr>
  </w:style>
  <w:style w:type="paragraph" w:styleId="817">
    <w:name w:val="endnote text"/>
    <w:basedOn w:val="65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 w:customStyle="1">
    <w:name w:val="Текст концевой сноски Знак"/>
    <w:link w:val="817"/>
    <w:uiPriority w:val="99"/>
    <w:rPr>
      <w:sz w:val="20"/>
    </w:rPr>
  </w:style>
  <w:style w:type="character" w:styleId="819">
    <w:name w:val="endnote reference"/>
    <w:basedOn w:val="661"/>
    <w:uiPriority w:val="99"/>
    <w:semiHidden/>
    <w:unhideWhenUsed/>
    <w:rPr>
      <w:vertAlign w:val="superscript"/>
    </w:rPr>
  </w:style>
  <w:style w:type="paragraph" w:styleId="820">
    <w:name w:val="toc 1"/>
    <w:basedOn w:val="651"/>
    <w:next w:val="651"/>
    <w:uiPriority w:val="39"/>
    <w:unhideWhenUsed/>
    <w:pPr>
      <w:spacing w:after="57"/>
    </w:pPr>
  </w:style>
  <w:style w:type="paragraph" w:styleId="821">
    <w:name w:val="toc 2"/>
    <w:basedOn w:val="651"/>
    <w:next w:val="651"/>
    <w:uiPriority w:val="39"/>
    <w:unhideWhenUsed/>
    <w:pPr>
      <w:ind w:left="283"/>
      <w:spacing w:after="57"/>
    </w:pPr>
  </w:style>
  <w:style w:type="paragraph" w:styleId="822">
    <w:name w:val="toc 3"/>
    <w:basedOn w:val="651"/>
    <w:next w:val="651"/>
    <w:uiPriority w:val="39"/>
    <w:unhideWhenUsed/>
    <w:pPr>
      <w:ind w:left="567"/>
      <w:spacing w:after="57"/>
    </w:pPr>
  </w:style>
  <w:style w:type="paragraph" w:styleId="823">
    <w:name w:val="toc 4"/>
    <w:basedOn w:val="651"/>
    <w:next w:val="651"/>
    <w:uiPriority w:val="39"/>
    <w:unhideWhenUsed/>
    <w:pPr>
      <w:ind w:left="850"/>
      <w:spacing w:after="57"/>
    </w:pPr>
  </w:style>
  <w:style w:type="paragraph" w:styleId="824">
    <w:name w:val="toc 5"/>
    <w:basedOn w:val="651"/>
    <w:next w:val="651"/>
    <w:uiPriority w:val="39"/>
    <w:unhideWhenUsed/>
    <w:pPr>
      <w:ind w:left="1134"/>
      <w:spacing w:after="57"/>
    </w:pPr>
  </w:style>
  <w:style w:type="paragraph" w:styleId="825">
    <w:name w:val="toc 6"/>
    <w:basedOn w:val="651"/>
    <w:next w:val="651"/>
    <w:uiPriority w:val="39"/>
    <w:unhideWhenUsed/>
    <w:pPr>
      <w:ind w:left="1417"/>
      <w:spacing w:after="57"/>
    </w:pPr>
  </w:style>
  <w:style w:type="paragraph" w:styleId="826">
    <w:name w:val="toc 7"/>
    <w:basedOn w:val="651"/>
    <w:next w:val="651"/>
    <w:uiPriority w:val="39"/>
    <w:unhideWhenUsed/>
    <w:pPr>
      <w:ind w:left="1701"/>
      <w:spacing w:after="57"/>
    </w:pPr>
  </w:style>
  <w:style w:type="paragraph" w:styleId="827">
    <w:name w:val="toc 8"/>
    <w:basedOn w:val="651"/>
    <w:next w:val="651"/>
    <w:uiPriority w:val="39"/>
    <w:unhideWhenUsed/>
    <w:pPr>
      <w:ind w:left="1984"/>
      <w:spacing w:after="57"/>
    </w:pPr>
  </w:style>
  <w:style w:type="paragraph" w:styleId="828">
    <w:name w:val="toc 9"/>
    <w:basedOn w:val="651"/>
    <w:next w:val="651"/>
    <w:uiPriority w:val="39"/>
    <w:unhideWhenUsed/>
    <w:pPr>
      <w:ind w:left="2268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651"/>
    <w:next w:val="651"/>
    <w:uiPriority w:val="99"/>
    <w:unhideWhenUsed/>
    <w:pPr>
      <w:spacing w:after="0"/>
    </w:pPr>
  </w:style>
  <w:style w:type="character" w:styleId="831">
    <w:name w:val="Hyperlink"/>
    <w:basedOn w:val="661"/>
    <w:uiPriority w:val="99"/>
    <w:unhideWhenUsed/>
    <w:rPr>
      <w:color w:val="0000ff" w:themeColor="hyperlink"/>
      <w:u w:val="single"/>
    </w:rPr>
  </w:style>
  <w:style w:type="paragraph" w:styleId="832">
    <w:name w:val="Balloon Text"/>
    <w:basedOn w:val="651"/>
    <w:link w:val="83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3" w:customStyle="1">
    <w:name w:val="Текст выноски Знак"/>
    <w:basedOn w:val="661"/>
    <w:link w:val="832"/>
    <w:uiPriority w:val="99"/>
    <w:semiHidden/>
    <w:rPr>
      <w:rFonts w:ascii="Tahoma" w:hAnsi="Tahoma" w:cs="Tahoma"/>
      <w:sz w:val="16"/>
      <w:szCs w:val="16"/>
    </w:rPr>
  </w:style>
  <w:style w:type="table" w:styleId="834">
    <w:name w:val="Table Grid"/>
    <w:basedOn w:val="66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И. Струков</dc:creator>
  <cp:revision>15</cp:revision>
  <dcterms:created xsi:type="dcterms:W3CDTF">2023-02-28T04:11:00Z</dcterms:created>
  <dcterms:modified xsi:type="dcterms:W3CDTF">2025-01-09T07:47:08Z</dcterms:modified>
</cp:coreProperties>
</file>