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PT Astra Serif" w:hAnsi="PT Astra Serif" w:cs="PT Astra Serif"/>
          <w:b/>
          <w:bCs/>
          <w:sz w:val="28"/>
          <w:szCs w:val="28"/>
          <w:highlight w:val="white"/>
        </w:rPr>
      </w:pPr>
      <w:r>
        <w:rPr>
          <w:rFonts w:ascii="PT Astra Serif" w:hAnsi="PT Astra Serif" w:cs="PT Astra Serif"/>
          <w:b/>
          <w:sz w:val="28"/>
          <w:szCs w:val="28"/>
          <w:highlight w:val="white"/>
        </w:rPr>
        <w:t xml:space="preserve">Доклад комитета лесного контроля</w:t>
      </w:r>
      <w:r>
        <w:rPr>
          <w:rFonts w:ascii="PT Astra Serif" w:hAnsi="PT Astra Serif" w:cs="PT Astra Serif"/>
          <w:highlight w:val="white"/>
        </w:rPr>
      </w:r>
      <w:r/>
    </w:p>
    <w:p>
      <w:pPr>
        <w:jc w:val="both"/>
        <w:spacing w:after="0" w:line="240" w:lineRule="auto"/>
        <w:rPr>
          <w:rFonts w:ascii="PT Astra Serif" w:hAnsi="PT Astra Serif" w:cs="PT Astra Serif"/>
          <w:b/>
          <w:bCs/>
          <w:sz w:val="28"/>
          <w:szCs w:val="28"/>
          <w:highlight w:val="white"/>
        </w:rPr>
      </w:pPr>
      <w:r>
        <w:rPr>
          <w:rFonts w:ascii="PT Astra Serif" w:hAnsi="PT Astra Serif" w:cs="PT Astra Serif"/>
          <w:b/>
          <w:sz w:val="28"/>
          <w:szCs w:val="28"/>
          <w:highlight w:val="white"/>
        </w:rPr>
      </w:r>
      <w:r>
        <w:rPr>
          <w:rFonts w:ascii="PT Astra Serif" w:hAnsi="PT Astra Serif" w:cs="PT Astra Serif"/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cs="PT Astra Serif"/>
          <w:sz w:val="28"/>
          <w:szCs w:val="28"/>
          <w:highlight w:val="white"/>
        </w:rPr>
        <w:t xml:space="preserve">На территории Томской области федеральный государственный лесной контроль (надзор) (далее – Лесной контроль) осуществляется 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Департаментом лесного хозяйства Томской области (далее - Департамент), а также подведомственным учреждением, областным государствен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ным казенным учреждением «Томское управление лесами» (далее – ОГКУ «Томсклес»).</w:t>
      </w:r>
      <w:r>
        <w:rPr>
          <w:rFonts w:ascii="PT Astra Serif" w:hAnsi="PT Astra Serif" w:cs="PT Astra Serif"/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</w:pPr>
      <w:r>
        <w:rPr>
          <w:rFonts w:ascii="PT Astra Serif" w:hAnsi="PT Astra Serif" w:cs="PT Astra Serif"/>
          <w:sz w:val="28"/>
          <w:szCs w:val="28"/>
          <w:highlight w:val="white"/>
        </w:rPr>
        <w:t xml:space="preserve">Лесной контроль данными органами контроля осуществляется</w:t>
      </w:r>
      <w:r>
        <w:rPr>
          <w:rFonts w:ascii="PT Astra Serif" w:hAnsi="PT Astra Serif" w:cs="PT Astra Serif"/>
          <w:sz w:val="28"/>
          <w:szCs w:val="28"/>
          <w:highlight w:val="white"/>
        </w:rPr>
        <w:br/>
        <w:t xml:space="preserve">в соответствии с требованиями норм Федерального закона от 31.07.2020 № 248-ФЗ «О государственном контроле (надзоре)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 и 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муниципальном контроле в Российской </w:t>
      </w:r>
      <w:r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  <w:t xml:space="preserve">Федерации» 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(далее – Федеральный закон № 248-ФЗ)</w:t>
      </w:r>
      <w:r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  <w:t xml:space="preserve">, а также в соответствии с Положением о федеральном государственном лесном контроле (надзоре), утвержденном постановлением Правительства Российской Федерации </w:t>
      </w:r>
      <w:r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  <w:t xml:space="preserve">от 30.06.2021 № 1098.</w:t>
      </w:r>
      <w:r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</w:pPr>
      <w:r>
        <w:rPr>
          <w:rFonts w:ascii="PT Astra Serif" w:hAnsi="PT Astra Serif" w:cs="PT Astra Serif"/>
          <w:b w:val="0"/>
          <w:bCs w:val="0"/>
          <w:sz w:val="28"/>
          <w:szCs w:val="28"/>
          <w:highlight w:val="none"/>
        </w:rPr>
        <w:t xml:space="preserve">К</w:t>
      </w:r>
      <w:r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  <w:t xml:space="preserve">оличество лиц, деятельность </w:t>
      </w:r>
      <w:r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  <w:t xml:space="preserve">которых является объектом Лесного контроля на территории Томской области, составляет 14 000, из них с категорией умеренного риска </w:t>
      </w:r>
      <w:r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  <w:t xml:space="preserve">64</w:t>
      </w:r>
      <w:r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  <w:t xml:space="preserve">, оставшаяся часть относятся к низкой категории риска, объекты со значительной категорией риска отсутствуют.</w:t>
      </w:r>
      <w:r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</w:r>
      <w:r/>
    </w:p>
    <w:p>
      <w:pPr>
        <w:ind w:firstLine="0"/>
        <w:jc w:val="both"/>
        <w:spacing w:after="0" w:line="240" w:lineRule="auto"/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</w:pPr>
      <w:r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  <w:tab/>
        <w:t xml:space="preserve">В рамках реализации полномочий по осуществлению Лесного контроля Департаментом и ОГКУ «Томсклес»:</w:t>
      </w:r>
      <w:r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</w:pPr>
      <w:r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  <w:t xml:space="preserve"> </w:t>
      </w:r>
      <w:r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  <w:t xml:space="preserve">- в текущем периоде 2025 года проводятся профилактические мероприятия, из них: информирование - 124, консультирование - 284, обобщение правоприменительной практики - 1, объявление предостережений - 64. Проведено 69 контрольных (надзорных) мероприятий без в</w:t>
      </w:r>
      <w:r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  <w:t xml:space="preserve">заимодействия с контролируемым лицом (выездных обследований).</w:t>
      </w:r>
      <w:r>
        <w:rPr>
          <w:rFonts w:ascii="PT Astra Serif" w:hAnsi="PT Astra Serif" w:cs="PT Astra Serif"/>
          <w:b w:val="0"/>
          <w:bCs w:val="0"/>
          <w:sz w:val="28"/>
          <w:szCs w:val="28"/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cs="PT Astra Serif"/>
          <w:sz w:val="28"/>
          <w:szCs w:val="28"/>
          <w:highlight w:val="white"/>
        </w:rPr>
        <w:t xml:space="preserve">В целях стимулирования добросовестного соблюдения обязательных требований всеми контролируемыми лицами, устранения условий, причин и факторов, способных привести к нарушениям обязательных требований и (или) причинению вреда (ущ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ерба) охраняемым законом ценно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стям, создания условий для доведения обязательных требований до контролируемых лиц, повышения информированности о способах их соблюдения, в соответствии с требованиями </w:t>
        <w:br/>
        <w:t xml:space="preserve">ст. 44 Федерального закона № 248-ФЗ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о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в причинения вреда (ущерба) охраняемым законом ценностям», Департаментом ежегодно разрабатывается и размещается, для проведения общественных обсуждений, проект Программы профилактики рисков причинения вреда (ущерба) охраняемым законом ценностям (далее – Пр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ограмма профилактики) при осуществлении Государственного контроля на землях лесного фонда на территории Томской области.</w:t>
      </w:r>
      <w:r>
        <w:rPr>
          <w:rFonts w:ascii="PT Astra Serif" w:hAnsi="PT Astra Serif" w:cs="PT Astra Serif"/>
          <w:sz w:val="28"/>
          <w:szCs w:val="28"/>
          <w:highlight w:val="white"/>
        </w:rPr>
      </w:r>
      <w:r/>
    </w:p>
    <w:p>
      <w:pPr>
        <w:ind w:firstLine="709"/>
        <w:jc w:val="both"/>
        <w:spacing w:before="0" w:beforeAutospacing="0" w:after="0" w:afterAutospacing="0" w:line="240" w:lineRule="auto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Департаментом в соответствии с Федеральным законом № 248-ФЗ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, а также в соответствии с пунктом 9 Постановления Правительства РФ от 07.12.2020 № 2041 </w:t>
        <w:br/>
        <w:t xml:space="preserve">«Об утверждении требований 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к подготовке докладов о видах государственного контроля (надзора), муниципального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 к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онтроля и сводного доклада </w:t>
        <w:br/>
        <w:t xml:space="preserve">о государственном контроле (надзоре), муниципальном контроле в Российской Федерации» подготовлен  д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оклад об осуществлении государственного контроля 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и размещен 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на официальном сайте Департамента, а также в Едином реестре видов контроля. Также вся необходимая информация п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о докладу размещена на подсистеме: https://monitoring.ar.gov.ru, обеспечивающей мониторинг и оценку эффективности контрольной (надзорной) деятельности и функционирующей в составе государственной информационной системы «Типовое облачное решение по автоматиз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ации контрольной (надзорной) деятельности».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</w:r>
      <w:r/>
    </w:p>
    <w:p>
      <w:pPr>
        <w:jc w:val="both"/>
        <w:spacing w:before="0" w:beforeAutospacing="0" w:after="0" w:afterAutospacing="0" w:line="240" w:lineRule="auto"/>
        <w:rPr>
          <w:rFonts w:ascii="PT Astra Serif" w:hAnsi="PT Astra Serif" w:cs="PT Astra Serif"/>
          <w:color w:val="000000" w:themeColor="text1"/>
          <w:highlight w:val="white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ab/>
        <w:t xml:space="preserve">С вышеуказанным докладом, а также с результатами осуществления 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лесного контроля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 на территории Томской области можно ознакомиться 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на официальном сайте Департамента: 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https://deples.tomsk.gov.ru/federalnyj-gosudarstvennyj-lesnoj-kontrol-nadzor-lesnaja-ohrana</w:t>
      </w:r>
      <w:r>
        <w:rPr>
          <w:rFonts w:ascii="PT Astra Serif" w:hAnsi="PT Astra Serif" w:cs="PT Astra Serif"/>
          <w:color w:val="000000" w:themeColor="text1"/>
          <w:sz w:val="28"/>
          <w:szCs w:val="28"/>
          <w:highlight w:val="white"/>
        </w:rPr>
        <w:t xml:space="preserve">.</w:t>
      </w:r>
      <w:r>
        <w:rPr>
          <w:rFonts w:ascii="PT Astra Serif" w:hAnsi="PT Astra Serif" w:cs="PT Astra Serif"/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/>
          <w:sz w:val="28"/>
          <w:szCs w:val="28"/>
          <w:highlight w:val="white"/>
        </w:rPr>
      </w:pPr>
      <w:r>
        <w:rPr>
          <w:rFonts w:ascii="PT Astra Serif" w:hAnsi="PT Astra Serif" w:cs="PT Astra Serif"/>
          <w:sz w:val="28"/>
          <w:szCs w:val="28"/>
          <w:highlight w:val="white"/>
        </w:rPr>
        <w:t xml:space="preserve">Для оперативного реагирования организована круглосуточная ра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бота </w:t>
        <w:br/>
        <w:t xml:space="preserve">по приему сообщ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ений о совершаемых 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в лесу нарушениях через региональную диспетчерскую службу лесного хозяйства Томской области (РДС), позволяющую производить моментальный обмен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 информацией между всеми участниками межведомственного взаимодействия.</w:t>
      </w:r>
      <w:r>
        <w:rPr>
          <w:rFonts w:ascii="PT Astra Serif" w:hAnsi="PT Astra Serif" w:cs="PT Astra Serif"/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cs="PT Astra Serif"/>
          <w:sz w:val="28"/>
          <w:szCs w:val="28"/>
          <w:highlight w:val="white"/>
        </w:rPr>
        <w:t xml:space="preserve">На о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фициальном сайте Департамента работает сервис прямого обращения граждан, позволяющий отправить текстовое сообщение о 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лесонарушении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, прикрепив к нему фотографии, в том числе с привязкой к географическим координатам. Такие сообщения автоматически отображаютс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я в вышеуказанном мобильном приложении.</w:t>
      </w:r>
      <w:r>
        <w:rPr>
          <w:rFonts w:ascii="PT Astra Serif" w:hAnsi="PT Astra Serif" w:cs="PT Astra Serif"/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cs="PT Astra Serif"/>
          <w:sz w:val="28"/>
          <w:szCs w:val="28"/>
          <w:highlight w:val="white"/>
        </w:rPr>
        <w:t xml:space="preserve">Проверка поступивших сообщений проводится как сотрудниками Департамента, так и специалистами лесничеств в зависимости от отдалённости места возможного 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лесонарушения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 и содержания поступившей информации.</w:t>
      </w:r>
      <w:r>
        <w:rPr>
          <w:rFonts w:ascii="PT Astra Serif" w:hAnsi="PT Astra Serif" w:cs="PT Astra Serif"/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cs="PT Astra Serif"/>
          <w:sz w:val="28"/>
          <w:szCs w:val="28"/>
          <w:highlight w:val="white"/>
        </w:rPr>
        <w:t xml:space="preserve">Предпринятые 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на территории Томской области меры позволили повысить эффективность борьбы с незаконными рубками и оборотом древесины, что в свою очередь позволило инспекторам лесной охраны региона из года в год добиваться положительных результатов на данном направлении д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еятельности.</w:t>
      </w:r>
      <w:r>
        <w:rPr>
          <w:rFonts w:ascii="PT Astra Serif" w:hAnsi="PT Astra Serif" w:cs="PT Astra Serif"/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cs="PT Astra Serif"/>
          <w:sz w:val="28"/>
          <w:szCs w:val="28"/>
          <w:highlight w:val="white"/>
        </w:rPr>
        <w:t xml:space="preserve">На постоянной основе осуществляется регулярное межведомственное взаимодействие с органами МВД, ФСБ, прокуратурой, таможней и другими контролирующими органами.</w:t>
      </w:r>
      <w:r>
        <w:rPr>
          <w:rFonts w:ascii="PT Astra Serif" w:hAnsi="PT Astra Serif" w:cs="PT Astra Serif"/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cs="PT Astra Serif"/>
          <w:sz w:val="28"/>
          <w:szCs w:val="28"/>
          <w:highlight w:val="white"/>
        </w:rPr>
        <w:t xml:space="preserve">С положительной стороны себя зарекомендовала практика проведения совместных межведомственных ме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роприятий</w:t>
      </w:r>
      <w:r>
        <w:rPr>
          <w:rFonts w:ascii="PT Astra Serif" w:hAnsi="PT Astra Serif" w:cs="PT Astra Serif"/>
          <w:sz w:val="28"/>
          <w:szCs w:val="28"/>
          <w:highlight w:val="white"/>
        </w:rPr>
        <w:t xml:space="preserve"> с сотрудниками ОМВД России по Томской области и прокуратуры Томской области, направленных на профилактику, выявление и пресечение нарушений требований лесного законодательства.</w:t>
      </w:r>
      <w:r>
        <w:rPr>
          <w:rFonts w:ascii="PT Astra Serif" w:hAnsi="PT Astra Serif" w:cs="PT Astra Serif"/>
          <w:highlight w:val="white"/>
        </w:rPr>
      </w:r>
      <w:r/>
    </w:p>
    <w:sectPr>
      <w:footnotePr/>
      <w:endnotePr/>
      <w:type w:val="nextPage"/>
      <w:pgSz w:w="11906" w:h="16838" w:orient="portrait"/>
      <w:pgMar w:top="850" w:right="850" w:bottom="1417" w:left="992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Calibr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0"/>
    <w:next w:val="810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basedOn w:val="811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0"/>
    <w:next w:val="810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basedOn w:val="811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0"/>
    <w:next w:val="810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basedOn w:val="811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0"/>
    <w:next w:val="810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basedOn w:val="811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0"/>
    <w:next w:val="810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basedOn w:val="811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0"/>
    <w:next w:val="810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basedOn w:val="811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0"/>
    <w:next w:val="810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basedOn w:val="811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0"/>
    <w:next w:val="810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basedOn w:val="811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0"/>
    <w:next w:val="810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basedOn w:val="811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List Paragraph"/>
    <w:basedOn w:val="810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basedOn w:val="810"/>
    <w:next w:val="810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basedOn w:val="811"/>
    <w:link w:val="654"/>
    <w:uiPriority w:val="10"/>
    <w:rPr>
      <w:sz w:val="48"/>
      <w:szCs w:val="48"/>
    </w:rPr>
  </w:style>
  <w:style w:type="paragraph" w:styleId="656">
    <w:name w:val="Subtitle"/>
    <w:basedOn w:val="810"/>
    <w:next w:val="810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basedOn w:val="811"/>
    <w:link w:val="656"/>
    <w:uiPriority w:val="11"/>
    <w:rPr>
      <w:sz w:val="24"/>
      <w:szCs w:val="24"/>
    </w:rPr>
  </w:style>
  <w:style w:type="paragraph" w:styleId="658">
    <w:name w:val="Quote"/>
    <w:basedOn w:val="810"/>
    <w:next w:val="810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0"/>
    <w:next w:val="810"/>
    <w:link w:val="661"/>
    <w:uiPriority w:val="30"/>
    <w:qFormat/>
    <w:pPr>
      <w:contextualSpacing w:val="0"/>
      <w:ind w:left="720" w:right="720"/>
      <w:shd w:val="clear" w:color="f2f2f2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0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basedOn w:val="811"/>
    <w:link w:val="662"/>
    <w:uiPriority w:val="99"/>
  </w:style>
  <w:style w:type="paragraph" w:styleId="664">
    <w:name w:val="Footer"/>
    <w:basedOn w:val="810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basedOn w:val="811"/>
    <w:link w:val="664"/>
    <w:uiPriority w:val="99"/>
  </w:style>
  <w:style w:type="paragraph" w:styleId="666">
    <w:name w:val="Caption"/>
    <w:basedOn w:val="810"/>
    <w:next w:val="8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 Light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Plain Table 1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fill="ffffff" w:themeFill="text1" w:themeFillTint="0D"/>
      </w:tcPr>
    </w:tblStylePr>
    <w:tblStylePr w:type="band1Vert">
      <w:tcPr>
        <w:shd w:val="clear" w:color="ffffff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2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2">
    <w:name w:val="Plain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3">
    <w:name w:val="Plain Table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4">
    <w:name w:val="Grid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6">
    <w:name w:val="Grid Table 4 - Accent 1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7">
    <w:name w:val="Grid Table 4 - Accent 2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8">
    <w:name w:val="Grid Table 4 - Accent 3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99">
    <w:name w:val="Grid Table 4 - Accent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0">
    <w:name w:val="Grid Table 4 - Accent 5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1">
    <w:name w:val="Grid Table 4 - Accent 6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2">
    <w:name w:val="Grid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text1" w:themeFillTint="40"/>
    </w:tblPr>
    <w:tblStylePr w:type="band1Horz">
      <w:tcPr>
        <w:shd w:val="clear" w:color="ffffff" w:fill="ffffff" w:themeFill="text1" w:themeFillTint="75"/>
      </w:tcPr>
    </w:tblStylePr>
    <w:tblStylePr w:type="band1Vert">
      <w:tcPr>
        <w:shd w:val="clear" w:color="ffffff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text1"/>
        <w:tcBorders>
          <w:top w:val="single" w:color="000000" w:themeColor="light1" w:sz="4" w:space="0"/>
        </w:tcBorders>
      </w:tcPr>
    </w:tblStylePr>
  </w:style>
  <w:style w:type="table" w:styleId="703">
    <w:name w:val="Grid Table 5 Dark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1" w:themeFillTint="34"/>
    </w:tblPr>
    <w:tblStylePr w:type="band1Horz">
      <w:tcPr>
        <w:shd w:val="clear" w:color="ffffff" w:fill="ffffff" w:themeFill="accent1" w:themeFillTint="75"/>
      </w:tcPr>
    </w:tblStylePr>
    <w:tblStylePr w:type="band1Vert">
      <w:tcPr>
        <w:shd w:val="clear" w:color="ffffff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1"/>
        <w:tcBorders>
          <w:top w:val="single" w:color="000000" w:themeColor="light1" w:sz="4" w:space="0"/>
        </w:tcBorders>
      </w:tcPr>
    </w:tblStylePr>
  </w:style>
  <w:style w:type="table" w:styleId="704">
    <w:name w:val="Grid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2" w:themeFillTint="32"/>
    </w:tblPr>
    <w:tblStylePr w:type="band1Horz">
      <w:tcPr>
        <w:shd w:val="clear" w:color="ffffff" w:fill="ffffff" w:themeFill="accent2" w:themeFillTint="75"/>
      </w:tcPr>
    </w:tblStylePr>
    <w:tblStylePr w:type="band1Vert">
      <w:tcPr>
        <w:shd w:val="clear" w:color="ffffff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2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3" w:themeFillTint="34"/>
    </w:tblPr>
    <w:tblStylePr w:type="band1Horz">
      <w:tcPr>
        <w:shd w:val="clear" w:color="ffffff" w:fill="ffffff" w:themeFill="accent3" w:themeFillTint="75"/>
      </w:tcPr>
    </w:tblStylePr>
    <w:tblStylePr w:type="band1Vert">
      <w:tcPr>
        <w:shd w:val="clear" w:color="ffffff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3"/>
        <w:tcBorders>
          <w:top w:val="single" w:color="000000" w:themeColor="light1" w:sz="4" w:space="0"/>
        </w:tcBorders>
      </w:tcPr>
    </w:tblStylePr>
  </w:style>
  <w:style w:type="table" w:styleId="706">
    <w:name w:val="Grid Table 5 Dark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4" w:themeFillTint="34"/>
    </w:tblPr>
    <w:tblStylePr w:type="band1Horz">
      <w:tcPr>
        <w:shd w:val="clear" w:color="ffffff" w:fill="ffffff" w:themeFill="accent4" w:themeFillTint="75"/>
      </w:tcPr>
    </w:tblStylePr>
    <w:tblStylePr w:type="band1Vert">
      <w:tcPr>
        <w:shd w:val="clear" w:color="ffffff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4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5" w:themeFillTint="34"/>
    </w:tblPr>
    <w:tblStylePr w:type="band1Horz">
      <w:tcPr>
        <w:shd w:val="clear" w:color="ffffff" w:fill="ffffff" w:themeFill="accent5" w:themeFillTint="75"/>
      </w:tcPr>
    </w:tblStylePr>
    <w:tblStylePr w:type="band1Vert">
      <w:tcPr>
        <w:shd w:val="clear" w:color="ffffff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5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fill="ffffff" w:themeFill="accent6" w:themeFillTint="34"/>
    </w:tblPr>
    <w:tblStylePr w:type="band1Horz">
      <w:tcPr>
        <w:shd w:val="clear" w:color="ffffff" w:fill="ffffff" w:themeFill="accent6" w:themeFillTint="75"/>
      </w:tcPr>
    </w:tblStylePr>
    <w:tblStylePr w:type="band1Vert">
      <w:tcPr>
        <w:shd w:val="clear" w:color="ffffff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fill="ffffff" w:themeFill="accent6"/>
        <w:tcBorders>
          <w:top w:val="single" w:color="000000" w:themeColor="light1" w:sz="4" w:space="0"/>
        </w:tcBorders>
      </w:tcPr>
    </w:tblStylePr>
  </w:style>
  <w:style w:type="table" w:styleId="709">
    <w:name w:val="Grid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fill="ffffff" w:themeFill="text1" w:themeFillTint="34"/>
      </w:tcPr>
    </w:tblStylePr>
    <w:tblStylePr w:type="band1Vert">
      <w:tcPr>
        <w:shd w:val="clear" w:color="ffffff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0">
    <w:name w:val="Grid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fill="ffffff" w:themeFill="accent1" w:themeFillTint="34"/>
      </w:tcPr>
    </w:tblStylePr>
    <w:tblStylePr w:type="band1Vert">
      <w:tcPr>
        <w:shd w:val="clear" w:color="ffffff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1">
    <w:name w:val="Grid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fill="ffffff" w:themeFill="accent2" w:themeFillTint="32"/>
      </w:tcPr>
    </w:tblStylePr>
    <w:tblStylePr w:type="band1Vert">
      <w:tcPr>
        <w:shd w:val="clear" w:color="ffffff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2">
    <w:name w:val="Grid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fill="ffffff" w:themeFill="accent3" w:themeFillTint="34"/>
      </w:tcPr>
    </w:tblStylePr>
    <w:tblStylePr w:type="band1Vert">
      <w:tcPr>
        <w:shd w:val="clear" w:color="ffffff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3">
    <w:name w:val="Grid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fill="ffffff" w:themeFill="accent4" w:themeFillTint="34"/>
      </w:tcPr>
    </w:tblStylePr>
    <w:tblStylePr w:type="band1Vert">
      <w:tcPr>
        <w:shd w:val="clear" w:color="ffffff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4">
    <w:name w:val="Grid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fill="ffffff" w:themeFill="accent5" w:themeFillTint="34"/>
      </w:tcPr>
    </w:tblStylePr>
    <w:tblStylePr w:type="band1Vert">
      <w:tcPr>
        <w:shd w:val="clear" w:color="ffffff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5">
    <w:name w:val="Grid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fill="ffffff" w:themeFill="accent6" w:themeFillTint="34"/>
      </w:tcPr>
    </w:tblStylePr>
    <w:tblStylePr w:type="band1Vert">
      <w:tcPr>
        <w:shd w:val="clear" w:color="ffffff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fill="ffffff" w:themeFill="text1" w:themeFillTint="0D"/>
      </w:tcPr>
    </w:tblStylePr>
    <w:tblStylePr w:type="band1Vert">
      <w:tcPr>
        <w:shd w:val="clear" w:color="ffffff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fill="ffffff" w:themeFill="accent1" w:themeFillTint="34"/>
      </w:tcPr>
    </w:tblStylePr>
    <w:tblStylePr w:type="band1Vert">
      <w:tcPr>
        <w:shd w:val="clear" w:color="ffffff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fill="ffffff" w:themeFill="accent2" w:themeFillTint="32"/>
      </w:tcPr>
    </w:tblStylePr>
    <w:tblStylePr w:type="band1Vert">
      <w:tcPr>
        <w:shd w:val="clear" w:color="ffffff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fill="ffffff" w:themeFill="accent3" w:themeFillTint="34"/>
      </w:tcPr>
    </w:tblStylePr>
    <w:tblStylePr w:type="band1Vert">
      <w:tcPr>
        <w:shd w:val="clear" w:color="ffffff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fill="ffffff" w:themeFill="accent4" w:themeFillTint="34"/>
      </w:tcPr>
    </w:tblStylePr>
    <w:tblStylePr w:type="band1Vert">
      <w:tcPr>
        <w:shd w:val="clear" w:color="ffffff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fill="ffffff" w:themeFill="accent5" w:themeFillTint="34"/>
      </w:tcPr>
    </w:tblStylePr>
    <w:tblStylePr w:type="band1Vert">
      <w:tcPr>
        <w:shd w:val="clear" w:color="ffffff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fill="ffffff" w:themeFill="accent6" w:themeFillTint="34"/>
      </w:tcPr>
    </w:tblStylePr>
    <w:tblStylePr w:type="band1Vert">
      <w:tcPr>
        <w:shd w:val="clear" w:color="ffffff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text1" w:themeFillTint="40"/>
      </w:tcPr>
    </w:tblStylePr>
    <w:tblStylePr w:type="band1Vert">
      <w:tcPr>
        <w:shd w:val="clear" w:color="ffffff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1" w:themeFillTint="40"/>
      </w:tcPr>
    </w:tblStylePr>
    <w:tblStylePr w:type="band1Vert">
      <w:tcPr>
        <w:shd w:val="clear" w:color="ffffff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2" w:themeFillTint="40"/>
      </w:tcPr>
    </w:tblStylePr>
    <w:tblStylePr w:type="band1Vert">
      <w:tcPr>
        <w:shd w:val="clear" w:color="ffffff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3" w:themeFillTint="40"/>
      </w:tcPr>
    </w:tblStylePr>
    <w:tblStylePr w:type="band1Vert">
      <w:tcPr>
        <w:shd w:val="clear" w:color="ffffff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4" w:themeFillTint="40"/>
      </w:tcPr>
    </w:tblStylePr>
    <w:tblStylePr w:type="band1Vert">
      <w:tcPr>
        <w:shd w:val="clear" w:color="ffffff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5" w:themeFillTint="40"/>
      </w:tcPr>
    </w:tblStylePr>
    <w:tblStylePr w:type="band1Vert">
      <w:tcPr>
        <w:shd w:val="clear" w:color="ffffff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6" w:themeFillTint="40"/>
      </w:tcPr>
    </w:tblStylePr>
    <w:tblStylePr w:type="band1Vert">
      <w:tcPr>
        <w:shd w:val="clear" w:color="ffffff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1">
    <w:name w:val="List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2">
    <w:name w:val="List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3">
    <w:name w:val="List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4">
    <w:name w:val="List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5">
    <w:name w:val="List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6">
    <w:name w:val="List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7">
    <w:name w:val="List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fill="ffffff" w:themeFill="text1" w:themeFillTint="80"/>
    </w:tblPr>
    <w:tblStylePr w:type="band1Horz">
      <w:tcPr>
        <w:shd w:val="clear" w:color="ffffff" w:fill="fffff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fill="ffffff" w:themeFill="accent1"/>
    </w:tblPr>
    <w:tblStylePr w:type="band1Horz">
      <w:tcPr>
        <w:shd w:val="clear" w:color="ffffff" w:fill="ffffff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fill="ffffff" w:themeFill="accent2" w:themeFillTint="97"/>
    </w:tblPr>
    <w:tblStylePr w:type="band1Horz">
      <w:tcPr>
        <w:shd w:val="clear" w:color="ffffff" w:fill="ffffff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fill="ffffff" w:themeFill="accent3" w:themeFillTint="98"/>
    </w:tblPr>
    <w:tblStylePr w:type="band1Horz">
      <w:tcPr>
        <w:shd w:val="clear" w:color="ffffff" w:fill="ffffff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fill="ffffff" w:themeFill="accent4" w:themeFillTint="9A"/>
    </w:tblPr>
    <w:tblStylePr w:type="band1Horz">
      <w:tcPr>
        <w:shd w:val="clear" w:color="ffffff" w:fill="ffffff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fill="ffffff" w:themeFill="accent5" w:themeFillTint="9A"/>
    </w:tblPr>
    <w:tblStylePr w:type="band1Horz">
      <w:tcPr>
        <w:shd w:val="clear" w:color="ffffff" w:fill="ffffff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fill="ffffff" w:themeFill="accent6" w:themeFillTint="98"/>
    </w:tblPr>
    <w:tblStylePr w:type="band1Horz">
      <w:tcPr>
        <w:shd w:val="clear" w:color="ffffff" w:fill="fffff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fill="fffff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fill="ffffff" w:themeFill="text1" w:themeFillTint="40"/>
      </w:tcPr>
    </w:tblStylePr>
    <w:tblStylePr w:type="band1Vert">
      <w:tcPr>
        <w:shd w:val="clear" w:color="ffffff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9">
    <w:name w:val="List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fill="ffffff" w:themeFill="accent1" w:themeFillTint="40"/>
      </w:tcPr>
    </w:tblStylePr>
    <w:tblStylePr w:type="band1Vert">
      <w:tcPr>
        <w:shd w:val="clear" w:color="ffffff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0">
    <w:name w:val="List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fill="ffffff" w:themeFill="accent2" w:themeFillTint="40"/>
      </w:tcPr>
    </w:tblStylePr>
    <w:tblStylePr w:type="band1Vert">
      <w:tcPr>
        <w:shd w:val="clear" w:color="ffffff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1">
    <w:name w:val="List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fill="ffffff" w:themeFill="accent3" w:themeFillTint="40"/>
      </w:tcPr>
    </w:tblStylePr>
    <w:tblStylePr w:type="band1Vert">
      <w:tcPr>
        <w:shd w:val="clear" w:color="ffffff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2">
    <w:name w:val="List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fill="ffffff" w:themeFill="accent4" w:themeFillTint="40"/>
      </w:tcPr>
    </w:tblStylePr>
    <w:tblStylePr w:type="band1Vert">
      <w:tcPr>
        <w:shd w:val="clear" w:color="ffffff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3">
    <w:name w:val="List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fill="ffffff" w:themeFill="accent5" w:themeFillTint="40"/>
      </w:tcPr>
    </w:tblStylePr>
    <w:tblStylePr w:type="band1Vert">
      <w:tcPr>
        <w:shd w:val="clear" w:color="ffffff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4">
    <w:name w:val="List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fill="ffffff" w:themeFill="accent6" w:themeFillTint="40"/>
      </w:tcPr>
    </w:tblStylePr>
    <w:tblStylePr w:type="band1Vert">
      <w:tcPr>
        <w:shd w:val="clear" w:color="ffffff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5">
    <w:name w:val="List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fill="ffffff" w:themeFill="text1" w:themeFillTint="40"/>
      </w:tcPr>
    </w:tblStylePr>
    <w:tblStylePr w:type="band1Vert">
      <w:tcPr>
        <w:shd w:val="clear" w:color="ffffff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6">
    <w:name w:val="List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fill="ffffff" w:themeFill="accent1" w:themeFillTint="40"/>
      </w:tcPr>
    </w:tblStylePr>
    <w:tblStylePr w:type="band1Vert">
      <w:tcPr>
        <w:shd w:val="clear" w:color="ffffff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7">
    <w:name w:val="List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fill="ffffff" w:themeFill="accent2" w:themeFillTint="40"/>
      </w:tcPr>
    </w:tblStylePr>
    <w:tblStylePr w:type="band1Vert">
      <w:tcPr>
        <w:shd w:val="clear" w:color="ffffff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8">
    <w:name w:val="List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fill="ffffff" w:themeFill="accent3" w:themeFillTint="40"/>
      </w:tcPr>
    </w:tblStylePr>
    <w:tblStylePr w:type="band1Vert">
      <w:tcPr>
        <w:shd w:val="clear" w:color="ffffff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69">
    <w:name w:val="List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fill="ffffff" w:themeFill="accent4" w:themeFillTint="40"/>
      </w:tcPr>
    </w:tblStylePr>
    <w:tblStylePr w:type="band1Vert">
      <w:tcPr>
        <w:shd w:val="clear" w:color="ffffff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0">
    <w:name w:val="List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fill="ffffff" w:themeFill="accent5" w:themeFillTint="40"/>
      </w:tcPr>
    </w:tblStylePr>
    <w:tblStylePr w:type="band1Vert">
      <w:tcPr>
        <w:shd w:val="clear" w:color="ffffff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1">
    <w:name w:val="List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fill="ffffff" w:themeFill="accent6" w:themeFillTint="40"/>
      </w:tcPr>
    </w:tblStylePr>
    <w:tblStylePr w:type="band1Vert">
      <w:tcPr>
        <w:shd w:val="clear" w:color="ffffff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fill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2">
    <w:name w:val="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</w:style>
  <w:style w:type="table" w:styleId="773">
    <w:name w:val="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</w:style>
  <w:style w:type="table" w:styleId="774">
    <w:name w:val="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</w:style>
  <w:style w:type="table" w:styleId="775">
    <w:name w:val="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</w:style>
  <w:style w:type="table" w:styleId="776">
    <w:name w:val="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</w:style>
  <w:style w:type="table" w:styleId="777">
    <w:name w:val="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</w:style>
  <w:style w:type="table" w:styleId="778">
    <w:name w:val="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</w:style>
  <w:style w:type="table" w:styleId="779">
    <w:name w:val="Bordered &amp; 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text1" w:themeFillTint="80"/>
      </w:tcPr>
    </w:tblStylePr>
  </w:style>
  <w:style w:type="table" w:styleId="780">
    <w:name w:val="Bordered &amp; 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1" w:themeFillTint="EA"/>
      </w:tcPr>
    </w:tblStylePr>
  </w:style>
  <w:style w:type="table" w:styleId="781">
    <w:name w:val="Bordered &amp; 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2" w:themeFillTint="97"/>
      </w:tcPr>
    </w:tblStylePr>
  </w:style>
  <w:style w:type="table" w:styleId="782">
    <w:name w:val="Bordered &amp; 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3" w:themeFillTint="FE"/>
      </w:tcPr>
    </w:tblStylePr>
  </w:style>
  <w:style w:type="table" w:styleId="783">
    <w:name w:val="Bordered &amp; 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4" w:themeFillTint="9A"/>
      </w:tcPr>
    </w:tblStylePr>
  </w:style>
  <w:style w:type="table" w:styleId="784">
    <w:name w:val="Bordered &amp; 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5"/>
      </w:tcPr>
    </w:tblStylePr>
  </w:style>
  <w:style w:type="table" w:styleId="785">
    <w:name w:val="Bordered &amp; 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fill="ffffff" w:themeFill="accent6"/>
      </w:tcPr>
    </w:tblStylePr>
  </w:style>
  <w:style w:type="table" w:styleId="786">
    <w:name w:val="Bordered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7">
    <w:name w:val="Bordered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8">
    <w:name w:val="Bordered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89">
    <w:name w:val="Bordered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0">
    <w:name w:val="Bordered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1">
    <w:name w:val="Bordered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2">
    <w:name w:val="Bordered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793">
    <w:name w:val="footnote text"/>
    <w:basedOn w:val="810"/>
    <w:link w:val="794"/>
    <w:uiPriority w:val="99"/>
    <w:semiHidden/>
    <w:unhideWhenUsed/>
    <w:pPr>
      <w:spacing w:after="40" w:line="240" w:lineRule="auto"/>
    </w:pPr>
    <w:rPr>
      <w:sz w:val="18"/>
    </w:rPr>
  </w:style>
  <w:style w:type="character" w:styleId="794">
    <w:name w:val="Footnote Text Char"/>
    <w:link w:val="793"/>
    <w:uiPriority w:val="99"/>
    <w:rPr>
      <w:sz w:val="18"/>
    </w:rPr>
  </w:style>
  <w:style w:type="character" w:styleId="795">
    <w:name w:val="footnote reference"/>
    <w:basedOn w:val="811"/>
    <w:uiPriority w:val="99"/>
    <w:unhideWhenUsed/>
    <w:rPr>
      <w:vertAlign w:val="superscript"/>
    </w:rPr>
  </w:style>
  <w:style w:type="paragraph" w:styleId="796">
    <w:name w:val="endnote text"/>
    <w:basedOn w:val="810"/>
    <w:link w:val="797"/>
    <w:uiPriority w:val="99"/>
    <w:semiHidden/>
    <w:unhideWhenUsed/>
    <w:pPr>
      <w:spacing w:after="0" w:line="240" w:lineRule="auto"/>
    </w:pPr>
    <w:rPr>
      <w:sz w:val="20"/>
    </w:rPr>
  </w:style>
  <w:style w:type="character" w:styleId="797">
    <w:name w:val="Endnote Text Char"/>
    <w:link w:val="796"/>
    <w:uiPriority w:val="99"/>
    <w:rPr>
      <w:sz w:val="20"/>
    </w:rPr>
  </w:style>
  <w:style w:type="character" w:styleId="798">
    <w:name w:val="endnote reference"/>
    <w:basedOn w:val="811"/>
    <w:uiPriority w:val="99"/>
    <w:semiHidden/>
    <w:unhideWhenUsed/>
    <w:rPr>
      <w:vertAlign w:val="superscript"/>
    </w:rPr>
  </w:style>
  <w:style w:type="paragraph" w:styleId="799">
    <w:name w:val="toc 1"/>
    <w:basedOn w:val="810"/>
    <w:next w:val="810"/>
    <w:uiPriority w:val="39"/>
    <w:unhideWhenUsed/>
    <w:pPr>
      <w:ind w:left="0" w:right="0" w:firstLine="0"/>
      <w:spacing w:after="57"/>
    </w:pPr>
  </w:style>
  <w:style w:type="paragraph" w:styleId="800">
    <w:name w:val="toc 2"/>
    <w:basedOn w:val="810"/>
    <w:next w:val="810"/>
    <w:uiPriority w:val="39"/>
    <w:unhideWhenUsed/>
    <w:pPr>
      <w:ind w:left="283" w:right="0" w:firstLine="0"/>
      <w:spacing w:after="57"/>
    </w:pPr>
  </w:style>
  <w:style w:type="paragraph" w:styleId="801">
    <w:name w:val="toc 3"/>
    <w:basedOn w:val="810"/>
    <w:next w:val="810"/>
    <w:uiPriority w:val="39"/>
    <w:unhideWhenUsed/>
    <w:pPr>
      <w:ind w:left="567" w:right="0" w:firstLine="0"/>
      <w:spacing w:after="57"/>
    </w:pPr>
  </w:style>
  <w:style w:type="paragraph" w:styleId="802">
    <w:name w:val="toc 4"/>
    <w:basedOn w:val="810"/>
    <w:next w:val="810"/>
    <w:uiPriority w:val="39"/>
    <w:unhideWhenUsed/>
    <w:pPr>
      <w:ind w:left="850" w:right="0" w:firstLine="0"/>
      <w:spacing w:after="57"/>
    </w:pPr>
  </w:style>
  <w:style w:type="paragraph" w:styleId="803">
    <w:name w:val="toc 5"/>
    <w:basedOn w:val="810"/>
    <w:next w:val="810"/>
    <w:uiPriority w:val="39"/>
    <w:unhideWhenUsed/>
    <w:pPr>
      <w:ind w:left="1134" w:right="0" w:firstLine="0"/>
      <w:spacing w:after="57"/>
    </w:pPr>
  </w:style>
  <w:style w:type="paragraph" w:styleId="804">
    <w:name w:val="toc 6"/>
    <w:basedOn w:val="810"/>
    <w:next w:val="810"/>
    <w:uiPriority w:val="39"/>
    <w:unhideWhenUsed/>
    <w:pPr>
      <w:ind w:left="1417" w:right="0" w:firstLine="0"/>
      <w:spacing w:after="57"/>
    </w:pPr>
  </w:style>
  <w:style w:type="paragraph" w:styleId="805">
    <w:name w:val="toc 7"/>
    <w:basedOn w:val="810"/>
    <w:next w:val="810"/>
    <w:uiPriority w:val="39"/>
    <w:unhideWhenUsed/>
    <w:pPr>
      <w:ind w:left="1701" w:right="0" w:firstLine="0"/>
      <w:spacing w:after="57"/>
    </w:pPr>
  </w:style>
  <w:style w:type="paragraph" w:styleId="806">
    <w:name w:val="toc 8"/>
    <w:basedOn w:val="810"/>
    <w:next w:val="810"/>
    <w:uiPriority w:val="39"/>
    <w:unhideWhenUsed/>
    <w:pPr>
      <w:ind w:left="1984" w:right="0" w:firstLine="0"/>
      <w:spacing w:after="57"/>
    </w:pPr>
  </w:style>
  <w:style w:type="paragraph" w:styleId="807">
    <w:name w:val="toc 9"/>
    <w:basedOn w:val="810"/>
    <w:next w:val="810"/>
    <w:uiPriority w:val="39"/>
    <w:unhideWhenUsed/>
    <w:pPr>
      <w:ind w:left="2268" w:right="0" w:firstLine="0"/>
      <w:spacing w:after="57"/>
    </w:pPr>
  </w:style>
  <w:style w:type="paragraph" w:styleId="808">
    <w:name w:val="TOC Heading"/>
    <w:uiPriority w:val="39"/>
    <w:unhideWhenUsed/>
  </w:style>
  <w:style w:type="paragraph" w:styleId="809">
    <w:name w:val="table of figures"/>
    <w:basedOn w:val="810"/>
    <w:next w:val="810"/>
    <w:uiPriority w:val="99"/>
    <w:unhideWhenUsed/>
    <w:pPr>
      <w:spacing w:after="0" w:afterAutospacing="0"/>
    </w:pPr>
  </w:style>
  <w:style w:type="paragraph" w:styleId="810" w:default="1">
    <w:name w:val="Normal"/>
    <w:qFormat/>
  </w:style>
  <w:style w:type="character" w:styleId="811" w:default="1">
    <w:name w:val="Default Paragraph Font"/>
    <w:uiPriority w:val="1"/>
    <w:semiHidden/>
    <w:unhideWhenUsed/>
  </w:style>
  <w:style w:type="table" w:styleId="81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3" w:default="1">
    <w:name w:val="No List"/>
    <w:uiPriority w:val="99"/>
    <w:semiHidden/>
    <w:unhideWhenUsed/>
  </w:style>
  <w:style w:type="character" w:styleId="814">
    <w:name w:val="Hyperlink"/>
    <w:basedOn w:val="811"/>
    <w:uiPriority w:val="99"/>
    <w:unhideWhenUsed/>
    <w:rPr>
      <w:color w:val="0000ff" w:themeColor="hyperlink"/>
      <w:u w:val="single"/>
    </w:rPr>
  </w:style>
  <w:style w:type="paragraph" w:styleId="815">
    <w:name w:val="Balloon Text"/>
    <w:basedOn w:val="810"/>
    <w:link w:val="816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16" w:customStyle="1">
    <w:name w:val="Текст выноски Знак"/>
    <w:basedOn w:val="811"/>
    <w:link w:val="815"/>
    <w:uiPriority w:val="99"/>
    <w:semiHidden/>
    <w:rPr>
      <w:rFonts w:ascii="Tahoma" w:hAnsi="Tahoma" w:cs="Tahoma"/>
      <w:sz w:val="16"/>
      <w:szCs w:val="16"/>
    </w:rPr>
  </w:style>
  <w:style w:type="table" w:styleId="817">
    <w:name w:val="Table Grid"/>
    <w:basedOn w:val="812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Р7-Офис/7.2.2.40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Артём И. Струков</dc:creator>
  <cp:revision>11</cp:revision>
  <dcterms:created xsi:type="dcterms:W3CDTF">2023-02-28T04:11:00Z</dcterms:created>
  <dcterms:modified xsi:type="dcterms:W3CDTF">2025-07-07T02:24:13Z</dcterms:modified>
</cp:coreProperties>
</file>